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7F21C5">
        <w:rPr>
          <w:rFonts w:ascii="Times New Roman" w:hAnsi="Times New Roman" w:cs="Times New Roman"/>
          <w:b/>
          <w:sz w:val="24"/>
          <w:szCs w:val="24"/>
        </w:rPr>
        <w:t xml:space="preserve">JOGO DA MEMÓRIA </w:t>
      </w:r>
      <w:r w:rsidR="00BE6C2A">
        <w:rPr>
          <w:rFonts w:ascii="Times New Roman" w:hAnsi="Times New Roman" w:cs="Times New Roman"/>
          <w:b/>
          <w:sz w:val="24"/>
          <w:szCs w:val="24"/>
        </w:rPr>
        <w:t>COM TEXTURA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E7F89" w:rsidRPr="00DD2A36" w:rsidRDefault="003E7F89" w:rsidP="003E7F89">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7F89" w:rsidRPr="00DD2A36" w:rsidRDefault="003E7F89" w:rsidP="003E7F89">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7F89" w:rsidRPr="00DD2A36" w:rsidRDefault="003E7F89" w:rsidP="003E7F89">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7F89" w:rsidRPr="00DD2A36" w:rsidRDefault="003E7F89" w:rsidP="003E7F89">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7F89" w:rsidRPr="00DD2A36" w:rsidRDefault="003E7F89" w:rsidP="003E7F89">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3E7F89" w:rsidRPr="00357288" w:rsidRDefault="006D2D7B" w:rsidP="00357288">
      <w:pPr>
        <w:pStyle w:val="PargrafodaLista"/>
        <w:numPr>
          <w:ilvl w:val="2"/>
          <w:numId w:val="20"/>
        </w:numPr>
        <w:autoSpaceDE w:val="0"/>
        <w:autoSpaceDN w:val="0"/>
        <w:adjustRightInd w:val="0"/>
        <w:spacing w:after="0" w:line="480" w:lineRule="auto"/>
        <w:jc w:val="both"/>
        <w:rPr>
          <w:rFonts w:ascii="Times New Roman" w:hAnsi="Times New Roman"/>
          <w:b/>
          <w:sz w:val="24"/>
          <w:szCs w:val="24"/>
        </w:rPr>
      </w:pPr>
      <w:r w:rsidRPr="00357288">
        <w:rPr>
          <w:rFonts w:ascii="Times New Roman" w:eastAsia="Times New Roman" w:hAnsi="Times New Roman" w:cs="Times New Roman"/>
          <w:b/>
          <w:sz w:val="24"/>
          <w:szCs w:val="24"/>
        </w:rPr>
        <w:t xml:space="preserve">1ª etapa – </w:t>
      </w:r>
      <w:r w:rsidR="003E7F89" w:rsidRPr="00357288">
        <w:rPr>
          <w:rFonts w:ascii="Times New Roman" w:hAnsi="Times New Roman"/>
          <w:b/>
          <w:sz w:val="24"/>
          <w:szCs w:val="24"/>
        </w:rPr>
        <w:t>Avaliação Técnica e Pedagógica das Amos</w:t>
      </w:r>
      <w:r w:rsidRPr="00357288">
        <w:rPr>
          <w:rFonts w:ascii="Times New Roman" w:hAnsi="Times New Roman"/>
          <w:b/>
          <w:sz w:val="24"/>
          <w:szCs w:val="24"/>
        </w:rPr>
        <w:t>tras</w:t>
      </w:r>
      <w:proofErr w:type="gramStart"/>
      <w:r w:rsidRPr="00357288">
        <w:rPr>
          <w:rFonts w:ascii="Times New Roman" w:hAnsi="Times New Roman"/>
          <w:b/>
          <w:sz w:val="24"/>
          <w:szCs w:val="24"/>
        </w:rPr>
        <w:t>...........</w:t>
      </w:r>
      <w:r w:rsidR="003E7F89" w:rsidRPr="00357288">
        <w:rPr>
          <w:rFonts w:ascii="Times New Roman" w:hAnsi="Times New Roman"/>
          <w:b/>
          <w:sz w:val="24"/>
          <w:szCs w:val="24"/>
        </w:rPr>
        <w:t>.</w:t>
      </w:r>
      <w:r w:rsidR="00B519E0" w:rsidRPr="00357288">
        <w:rPr>
          <w:rFonts w:ascii="Times New Roman" w:hAnsi="Times New Roman"/>
          <w:b/>
          <w:sz w:val="24"/>
          <w:szCs w:val="24"/>
        </w:rPr>
        <w:t>........................</w:t>
      </w:r>
      <w:proofErr w:type="gramEnd"/>
      <w:r w:rsidR="00B519E0" w:rsidRPr="00357288">
        <w:rPr>
          <w:rFonts w:ascii="Times New Roman" w:hAnsi="Times New Roman"/>
          <w:b/>
          <w:sz w:val="24"/>
          <w:szCs w:val="24"/>
        </w:rPr>
        <w:t>04</w:t>
      </w:r>
    </w:p>
    <w:p w:rsidR="003E7F89" w:rsidRPr="00357288" w:rsidRDefault="006D2D7B" w:rsidP="00357288">
      <w:pPr>
        <w:pStyle w:val="PargrafodaLista"/>
        <w:numPr>
          <w:ilvl w:val="2"/>
          <w:numId w:val="20"/>
        </w:numPr>
        <w:spacing w:line="360" w:lineRule="auto"/>
        <w:jc w:val="both"/>
        <w:rPr>
          <w:rFonts w:ascii="Times New Roman" w:hAnsi="Times New Roman"/>
          <w:bCs/>
          <w:sz w:val="24"/>
          <w:szCs w:val="24"/>
        </w:rPr>
      </w:pPr>
      <w:r w:rsidRPr="00357288">
        <w:rPr>
          <w:rFonts w:ascii="Times New Roman" w:eastAsia="Times New Roman" w:hAnsi="Times New Roman" w:cs="Times New Roman"/>
          <w:b/>
          <w:sz w:val="24"/>
          <w:szCs w:val="24"/>
        </w:rPr>
        <w:t xml:space="preserve">2ª etapa – </w:t>
      </w:r>
      <w:r w:rsidRPr="00357288">
        <w:rPr>
          <w:rFonts w:ascii="Times New Roman" w:hAnsi="Times New Roman" w:cs="Times New Roman"/>
          <w:b/>
          <w:sz w:val="24"/>
          <w:szCs w:val="24"/>
        </w:rPr>
        <w:t>Análise da Produção.............................</w:t>
      </w:r>
      <w:r w:rsidR="003E7F89" w:rsidRPr="00357288">
        <w:rPr>
          <w:rFonts w:ascii="Times New Roman" w:hAnsi="Times New Roman" w:cs="Times New Roman"/>
          <w:b/>
          <w:sz w:val="24"/>
          <w:szCs w:val="24"/>
        </w:rPr>
        <w:t>..................................................05</w:t>
      </w: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3E7F89" w:rsidRDefault="003E7F89" w:rsidP="00B4234A">
      <w:pPr>
        <w:autoSpaceDE w:val="0"/>
        <w:autoSpaceDN w:val="0"/>
        <w:adjustRightInd w:val="0"/>
        <w:spacing w:after="0" w:line="360" w:lineRule="auto"/>
        <w:rPr>
          <w:rFonts w:ascii="Times New Roman" w:hAnsi="Times New Roman" w:cs="Times New Roman"/>
          <w:b/>
          <w:sz w:val="24"/>
          <w:szCs w:val="24"/>
        </w:rPr>
      </w:pPr>
    </w:p>
    <w:p w:rsidR="003E7F89" w:rsidRDefault="003E7F89" w:rsidP="00B4234A">
      <w:pPr>
        <w:autoSpaceDE w:val="0"/>
        <w:autoSpaceDN w:val="0"/>
        <w:adjustRightInd w:val="0"/>
        <w:spacing w:after="0" w:line="360" w:lineRule="auto"/>
        <w:rPr>
          <w:rFonts w:ascii="Times New Roman" w:hAnsi="Times New Roman" w:cs="Times New Roman"/>
          <w:b/>
          <w:sz w:val="24"/>
          <w:szCs w:val="24"/>
        </w:rPr>
      </w:pPr>
    </w:p>
    <w:p w:rsidR="003E7F89" w:rsidRPr="00DD2A36" w:rsidRDefault="003E7F89" w:rsidP="00B4234A">
      <w:pPr>
        <w:autoSpaceDE w:val="0"/>
        <w:autoSpaceDN w:val="0"/>
        <w:adjustRightInd w:val="0"/>
        <w:spacing w:after="0" w:line="360" w:lineRule="auto"/>
        <w:rPr>
          <w:rFonts w:ascii="Times New Roman" w:hAnsi="Times New Roman" w:cs="Times New Roman"/>
          <w:b/>
          <w:sz w:val="24"/>
          <w:szCs w:val="24"/>
        </w:rPr>
      </w:pPr>
    </w:p>
    <w:p w:rsidR="003A7CF5" w:rsidRPr="00DD2A36" w:rsidRDefault="003A7CF5" w:rsidP="003A7CF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3A7CF5" w:rsidRPr="00DD2A36" w:rsidRDefault="003A7CF5" w:rsidP="003A7CF5">
      <w:pPr>
        <w:spacing w:after="0" w:line="360" w:lineRule="auto"/>
        <w:rPr>
          <w:rFonts w:ascii="Times New Roman" w:hAnsi="Times New Roman" w:cs="Times New Roman"/>
          <w:b/>
          <w:sz w:val="24"/>
          <w:szCs w:val="24"/>
        </w:rPr>
      </w:pPr>
    </w:p>
    <w:p w:rsidR="003A7CF5" w:rsidRPr="00DD2A36" w:rsidRDefault="003A7CF5" w:rsidP="003A7CF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3C4252" w:rsidRDefault="003C4252" w:rsidP="003C425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3C4252" w:rsidRPr="00DD2A36" w:rsidRDefault="003C4252" w:rsidP="003C425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E7F89" w:rsidRDefault="003E7F89" w:rsidP="00B4234A">
      <w:pPr>
        <w:autoSpaceDE w:val="0"/>
        <w:autoSpaceDN w:val="0"/>
        <w:adjustRightInd w:val="0"/>
        <w:spacing w:after="0" w:line="360" w:lineRule="auto"/>
        <w:rPr>
          <w:rFonts w:ascii="Times New Roman" w:hAnsi="Times New Roman" w:cs="Times New Roman"/>
          <w:b/>
          <w:sz w:val="24"/>
          <w:szCs w:val="24"/>
        </w:rPr>
      </w:pPr>
    </w:p>
    <w:p w:rsidR="00B63E64" w:rsidRPr="003E7F89" w:rsidRDefault="00DD2A36" w:rsidP="003E7F89">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70655" w:rsidRPr="00B519E0" w:rsidRDefault="007F21C5" w:rsidP="00E70655">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Jogo da memória</w:t>
      </w:r>
      <w:r w:rsidR="00BE6C2A">
        <w:rPr>
          <w:rFonts w:ascii="Times New Roman" w:hAnsi="Times New Roman" w:cs="Times New Roman"/>
          <w:sz w:val="24"/>
          <w:szCs w:val="24"/>
        </w:rPr>
        <w:t xml:space="preserve"> com textura em MDF.</w:t>
      </w:r>
    </w:p>
    <w:p w:rsidR="00DD2A36" w:rsidRPr="003B0940" w:rsidRDefault="00DD2A36" w:rsidP="00F1265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3166A" w:rsidRPr="001A53D2" w:rsidRDefault="00D3166A" w:rsidP="00D3166A">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3E7F89" w:rsidRDefault="00DD2A36" w:rsidP="003E7F89">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E70655" w:rsidRPr="002176BE" w:rsidRDefault="00E70655" w:rsidP="00B425E0">
      <w:pPr>
        <w:pStyle w:val="Padro"/>
        <w:numPr>
          <w:ilvl w:val="0"/>
          <w:numId w:val="7"/>
        </w:numPr>
        <w:spacing w:after="0" w:line="360" w:lineRule="auto"/>
        <w:ind w:left="714" w:hanging="357"/>
        <w:jc w:val="both"/>
        <w:rPr>
          <w:sz w:val="24"/>
          <w:szCs w:val="24"/>
        </w:rPr>
      </w:pPr>
      <w:r w:rsidRPr="002176BE">
        <w:rPr>
          <w:rFonts w:ascii="Times New Roman" w:hAnsi="Times New Roman" w:cs="Times New Roman"/>
          <w:sz w:val="24"/>
          <w:szCs w:val="24"/>
        </w:rPr>
        <w:t xml:space="preserve">24 </w:t>
      </w:r>
      <w:r w:rsidR="0060168E" w:rsidRPr="002176BE">
        <w:rPr>
          <w:rFonts w:ascii="Times New Roman" w:hAnsi="Times New Roman" w:cs="Times New Roman"/>
          <w:sz w:val="24"/>
          <w:szCs w:val="24"/>
        </w:rPr>
        <w:t xml:space="preserve">(vinte e quatro) </w:t>
      </w:r>
      <w:r w:rsidRPr="002176BE">
        <w:rPr>
          <w:rFonts w:ascii="Times New Roman" w:hAnsi="Times New Roman" w:cs="Times New Roman"/>
          <w:sz w:val="24"/>
          <w:szCs w:val="24"/>
        </w:rPr>
        <w:t xml:space="preserve">peças quadradas, formando 12 </w:t>
      </w:r>
      <w:r w:rsidR="0060168E" w:rsidRPr="002176BE">
        <w:rPr>
          <w:rFonts w:ascii="Times New Roman" w:hAnsi="Times New Roman" w:cs="Times New Roman"/>
          <w:sz w:val="24"/>
          <w:szCs w:val="24"/>
        </w:rPr>
        <w:t xml:space="preserve">(doze) </w:t>
      </w:r>
      <w:r w:rsidRPr="002176BE">
        <w:rPr>
          <w:rFonts w:ascii="Times New Roman" w:hAnsi="Times New Roman" w:cs="Times New Roman"/>
          <w:sz w:val="24"/>
          <w:szCs w:val="24"/>
        </w:rPr>
        <w:t>pares;</w:t>
      </w:r>
    </w:p>
    <w:p w:rsidR="00E70655" w:rsidRPr="002176BE" w:rsidRDefault="00E70655" w:rsidP="00B425E0">
      <w:pPr>
        <w:pStyle w:val="Padro"/>
        <w:numPr>
          <w:ilvl w:val="0"/>
          <w:numId w:val="7"/>
        </w:numPr>
        <w:spacing w:after="0" w:line="360" w:lineRule="auto"/>
        <w:ind w:left="714" w:hanging="357"/>
        <w:jc w:val="both"/>
        <w:rPr>
          <w:sz w:val="24"/>
          <w:szCs w:val="24"/>
        </w:rPr>
      </w:pPr>
      <w:r w:rsidRPr="002176BE">
        <w:rPr>
          <w:rFonts w:ascii="Times New Roman" w:hAnsi="Times New Roman" w:cs="Times New Roman"/>
          <w:sz w:val="24"/>
          <w:szCs w:val="24"/>
        </w:rPr>
        <w:t>Matéria-prima das peças: MDF</w:t>
      </w:r>
      <w:r w:rsidRPr="002176BE">
        <w:rPr>
          <w:rFonts w:ascii="Times New Roman" w:hAnsi="Times New Roman" w:cs="Times New Roman"/>
          <w:b/>
          <w:sz w:val="24"/>
          <w:szCs w:val="24"/>
        </w:rPr>
        <w:t>;</w:t>
      </w:r>
    </w:p>
    <w:p w:rsidR="00E70655" w:rsidRPr="002176BE" w:rsidRDefault="00E70655" w:rsidP="00B425E0">
      <w:pPr>
        <w:pStyle w:val="Padro"/>
        <w:numPr>
          <w:ilvl w:val="0"/>
          <w:numId w:val="7"/>
        </w:numPr>
        <w:spacing w:after="0" w:line="360" w:lineRule="auto"/>
        <w:ind w:left="714" w:hanging="357"/>
        <w:jc w:val="both"/>
        <w:rPr>
          <w:sz w:val="24"/>
          <w:szCs w:val="24"/>
        </w:rPr>
      </w:pPr>
      <w:r w:rsidRPr="002176BE">
        <w:rPr>
          <w:rFonts w:ascii="Times New Roman" w:hAnsi="Times New Roman" w:cs="Times New Roman"/>
          <w:sz w:val="24"/>
          <w:szCs w:val="24"/>
        </w:rPr>
        <w:t xml:space="preserve">A peça possui pequeno círculo diâmetro de 30 mm, com </w:t>
      </w:r>
      <w:proofErr w:type="gramStart"/>
      <w:r w:rsidRPr="002176BE">
        <w:rPr>
          <w:rFonts w:ascii="Times New Roman" w:hAnsi="Times New Roman" w:cs="Times New Roman"/>
          <w:sz w:val="24"/>
          <w:szCs w:val="24"/>
        </w:rPr>
        <w:t>5</w:t>
      </w:r>
      <w:proofErr w:type="gramEnd"/>
      <w:r w:rsidRPr="002176BE">
        <w:rPr>
          <w:rFonts w:ascii="Times New Roman" w:hAnsi="Times New Roman" w:cs="Times New Roman"/>
          <w:sz w:val="24"/>
          <w:szCs w:val="24"/>
        </w:rPr>
        <w:t xml:space="preserve"> mm de profundidade, no qual é embutido o material com as texturas; </w:t>
      </w:r>
    </w:p>
    <w:p w:rsidR="00E70655" w:rsidRPr="002176BE" w:rsidRDefault="00E70655" w:rsidP="00E70655">
      <w:pPr>
        <w:pStyle w:val="Padro"/>
        <w:numPr>
          <w:ilvl w:val="0"/>
          <w:numId w:val="7"/>
        </w:numPr>
        <w:spacing w:after="0" w:line="360" w:lineRule="auto"/>
        <w:ind w:left="714" w:hanging="357"/>
        <w:jc w:val="both"/>
        <w:rPr>
          <w:sz w:val="24"/>
          <w:szCs w:val="24"/>
        </w:rPr>
      </w:pPr>
      <w:r w:rsidRPr="002176BE">
        <w:rPr>
          <w:rFonts w:ascii="Times New Roman" w:hAnsi="Times New Roman" w:cs="Times New Roman"/>
          <w:sz w:val="24"/>
          <w:szCs w:val="24"/>
        </w:rPr>
        <w:t>Tipos de textura:</w:t>
      </w:r>
    </w:p>
    <w:p w:rsidR="00E70655" w:rsidRPr="002176BE" w:rsidRDefault="00E70655" w:rsidP="00E70655">
      <w:pPr>
        <w:pStyle w:val="Padro"/>
        <w:numPr>
          <w:ilvl w:val="0"/>
          <w:numId w:val="11"/>
        </w:numPr>
        <w:spacing w:after="0" w:line="360" w:lineRule="auto"/>
        <w:jc w:val="both"/>
        <w:rPr>
          <w:sz w:val="24"/>
          <w:szCs w:val="24"/>
        </w:rPr>
      </w:pPr>
      <w:proofErr w:type="gramStart"/>
      <w:r w:rsidRPr="002176BE">
        <w:rPr>
          <w:rFonts w:ascii="Times New Roman" w:hAnsi="Times New Roman" w:cs="Times New Roman"/>
          <w:sz w:val="24"/>
          <w:szCs w:val="24"/>
        </w:rPr>
        <w:t>EVA liso</w:t>
      </w:r>
      <w:proofErr w:type="gramEnd"/>
      <w:r w:rsidRPr="002176BE">
        <w:rPr>
          <w:rFonts w:ascii="Times New Roman" w:hAnsi="Times New Roman" w:cs="Times New Roman"/>
          <w:sz w:val="24"/>
          <w:szCs w:val="24"/>
        </w:rPr>
        <w:t xml:space="preserve"> cor verde;</w:t>
      </w:r>
    </w:p>
    <w:p w:rsidR="00E70655" w:rsidRPr="002176BE" w:rsidRDefault="00E70655" w:rsidP="00E70655">
      <w:pPr>
        <w:pStyle w:val="Padro"/>
        <w:numPr>
          <w:ilvl w:val="0"/>
          <w:numId w:val="11"/>
        </w:numPr>
        <w:spacing w:after="0" w:line="360" w:lineRule="auto"/>
        <w:jc w:val="both"/>
        <w:rPr>
          <w:sz w:val="24"/>
          <w:szCs w:val="24"/>
        </w:rPr>
      </w:pPr>
      <w:proofErr w:type="gramStart"/>
      <w:r w:rsidRPr="002176BE">
        <w:rPr>
          <w:rFonts w:ascii="Times New Roman" w:hAnsi="Times New Roman" w:cs="Times New Roman"/>
          <w:sz w:val="24"/>
          <w:szCs w:val="24"/>
        </w:rPr>
        <w:t>EVA rugoso</w:t>
      </w:r>
      <w:proofErr w:type="gramEnd"/>
      <w:r w:rsidRPr="002176BE">
        <w:rPr>
          <w:rFonts w:ascii="Times New Roman" w:hAnsi="Times New Roman" w:cs="Times New Roman"/>
          <w:sz w:val="24"/>
          <w:szCs w:val="24"/>
        </w:rPr>
        <w:t xml:space="preserve"> cor laranja;</w:t>
      </w:r>
    </w:p>
    <w:p w:rsidR="00E70655" w:rsidRPr="002176BE" w:rsidRDefault="00E70655" w:rsidP="00E70655">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 xml:space="preserve">Lixa vermelha </w:t>
      </w:r>
      <w:proofErr w:type="spellStart"/>
      <w:r w:rsidRPr="002176BE">
        <w:rPr>
          <w:rFonts w:ascii="Times New Roman" w:hAnsi="Times New Roman" w:cs="Times New Roman"/>
          <w:sz w:val="24"/>
          <w:szCs w:val="24"/>
        </w:rPr>
        <w:t>granulatura</w:t>
      </w:r>
      <w:proofErr w:type="spellEnd"/>
      <w:r w:rsidRPr="002176BE">
        <w:rPr>
          <w:rFonts w:ascii="Times New Roman" w:hAnsi="Times New Roman" w:cs="Times New Roman"/>
          <w:sz w:val="24"/>
          <w:szCs w:val="24"/>
        </w:rPr>
        <w:t xml:space="preserve"> 80;</w:t>
      </w:r>
    </w:p>
    <w:p w:rsidR="00E70655" w:rsidRPr="002176BE" w:rsidRDefault="00E70655" w:rsidP="00E70655">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 xml:space="preserve">Lixa branca </w:t>
      </w:r>
      <w:proofErr w:type="spellStart"/>
      <w:r w:rsidRPr="002176BE">
        <w:rPr>
          <w:rFonts w:ascii="Times New Roman" w:hAnsi="Times New Roman" w:cs="Times New Roman"/>
          <w:sz w:val="24"/>
          <w:szCs w:val="24"/>
        </w:rPr>
        <w:t>granulatura</w:t>
      </w:r>
      <w:proofErr w:type="spellEnd"/>
      <w:r w:rsidRPr="002176BE">
        <w:rPr>
          <w:rFonts w:ascii="Times New Roman" w:hAnsi="Times New Roman" w:cs="Times New Roman"/>
          <w:sz w:val="24"/>
          <w:szCs w:val="24"/>
        </w:rPr>
        <w:t xml:space="preserve"> 220;</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Tela plástica azul;</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Carpete baixo de lã cor cinza;</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Vinil liso cor vermelha;</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 xml:space="preserve">Tecido de </w:t>
      </w:r>
      <w:proofErr w:type="spellStart"/>
      <w:r w:rsidRPr="002176BE">
        <w:rPr>
          <w:rFonts w:ascii="Times New Roman" w:hAnsi="Times New Roman" w:cs="Times New Roman"/>
          <w:sz w:val="24"/>
          <w:szCs w:val="24"/>
        </w:rPr>
        <w:t>corino</w:t>
      </w:r>
      <w:proofErr w:type="spellEnd"/>
      <w:r w:rsidRPr="002176BE">
        <w:rPr>
          <w:rFonts w:ascii="Times New Roman" w:hAnsi="Times New Roman" w:cs="Times New Roman"/>
          <w:sz w:val="24"/>
          <w:szCs w:val="24"/>
        </w:rPr>
        <w:t xml:space="preserve"> sintético cor preta;</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Tela polié</w:t>
      </w:r>
      <w:r w:rsidR="00B425E0" w:rsidRPr="002176BE">
        <w:rPr>
          <w:rFonts w:ascii="Times New Roman" w:hAnsi="Times New Roman" w:cs="Times New Roman"/>
          <w:sz w:val="24"/>
          <w:szCs w:val="24"/>
        </w:rPr>
        <w:t xml:space="preserve">ster furadinha “tela México” </w:t>
      </w:r>
      <w:r w:rsidRPr="002176BE">
        <w:rPr>
          <w:rFonts w:ascii="Times New Roman" w:hAnsi="Times New Roman" w:cs="Times New Roman"/>
          <w:sz w:val="24"/>
          <w:szCs w:val="24"/>
        </w:rPr>
        <w:t xml:space="preserve">acabamento resinado cor </w:t>
      </w:r>
      <w:proofErr w:type="spellStart"/>
      <w:proofErr w:type="gramStart"/>
      <w:r w:rsidRPr="002176BE">
        <w:rPr>
          <w:rFonts w:ascii="Times New Roman" w:hAnsi="Times New Roman" w:cs="Times New Roman"/>
          <w:sz w:val="24"/>
          <w:szCs w:val="24"/>
        </w:rPr>
        <w:t>pink</w:t>
      </w:r>
      <w:proofErr w:type="spellEnd"/>
      <w:proofErr w:type="gramEnd"/>
      <w:r w:rsidRPr="002176BE">
        <w:rPr>
          <w:rFonts w:ascii="Times New Roman" w:hAnsi="Times New Roman" w:cs="Times New Roman"/>
          <w:sz w:val="24"/>
          <w:szCs w:val="24"/>
        </w:rPr>
        <w:t>;</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Cortiça;</w:t>
      </w:r>
    </w:p>
    <w:p w:rsidR="004C4FDE"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 xml:space="preserve">Placa metálica (ferro) de </w:t>
      </w:r>
      <w:proofErr w:type="gramStart"/>
      <w:r w:rsidRPr="002176BE">
        <w:rPr>
          <w:rFonts w:ascii="Times New Roman" w:hAnsi="Times New Roman" w:cs="Times New Roman"/>
          <w:sz w:val="24"/>
          <w:szCs w:val="24"/>
        </w:rPr>
        <w:t>2</w:t>
      </w:r>
      <w:proofErr w:type="gramEnd"/>
      <w:r w:rsidRPr="002176BE">
        <w:rPr>
          <w:rFonts w:ascii="Times New Roman" w:hAnsi="Times New Roman" w:cs="Times New Roman"/>
          <w:sz w:val="24"/>
          <w:szCs w:val="24"/>
        </w:rPr>
        <w:t xml:space="preserve"> mm embutida na madeira e pintada na cor verde limão;</w:t>
      </w:r>
    </w:p>
    <w:p w:rsidR="00E70655" w:rsidRPr="002176BE" w:rsidRDefault="00E70655" w:rsidP="004C4FDE">
      <w:pPr>
        <w:pStyle w:val="Padro"/>
        <w:numPr>
          <w:ilvl w:val="0"/>
          <w:numId w:val="11"/>
        </w:numPr>
        <w:spacing w:after="0" w:line="360" w:lineRule="auto"/>
        <w:jc w:val="both"/>
        <w:rPr>
          <w:sz w:val="24"/>
          <w:szCs w:val="24"/>
        </w:rPr>
      </w:pPr>
      <w:r w:rsidRPr="002176BE">
        <w:rPr>
          <w:rFonts w:ascii="Times New Roman" w:hAnsi="Times New Roman" w:cs="Times New Roman"/>
          <w:sz w:val="24"/>
          <w:szCs w:val="24"/>
        </w:rPr>
        <w:t>Carpete alto de lã cor marrom.</w:t>
      </w:r>
    </w:p>
    <w:p w:rsidR="00717879" w:rsidRPr="002176BE" w:rsidRDefault="00036DA8" w:rsidP="00717879">
      <w:pPr>
        <w:pStyle w:val="PargrafodaLista"/>
        <w:numPr>
          <w:ilvl w:val="0"/>
          <w:numId w:val="13"/>
        </w:numPr>
        <w:spacing w:after="0" w:line="360" w:lineRule="auto"/>
        <w:ind w:hanging="357"/>
        <w:rPr>
          <w:rFonts w:ascii="Times New Roman" w:hAnsi="Times New Roman" w:cs="Times New Roman"/>
          <w:sz w:val="24"/>
          <w:szCs w:val="24"/>
        </w:rPr>
      </w:pPr>
      <w:r w:rsidRPr="002176BE">
        <w:rPr>
          <w:rFonts w:ascii="Times New Roman" w:hAnsi="Times New Roman" w:cs="Times New Roman"/>
          <w:sz w:val="24"/>
          <w:szCs w:val="24"/>
        </w:rPr>
        <w:t>O jogo de memória</w:t>
      </w:r>
      <w:r w:rsidR="00E70655" w:rsidRPr="002176BE">
        <w:rPr>
          <w:rFonts w:ascii="Times New Roman" w:hAnsi="Times New Roman" w:cs="Times New Roman"/>
          <w:sz w:val="24"/>
          <w:szCs w:val="24"/>
        </w:rPr>
        <w:t xml:space="preserve"> deverá vir montado de fábrica, pois as partes </w:t>
      </w:r>
      <w:proofErr w:type="spellStart"/>
      <w:r w:rsidR="00E70655" w:rsidRPr="002176BE">
        <w:rPr>
          <w:rFonts w:ascii="Times New Roman" w:hAnsi="Times New Roman" w:cs="Times New Roman"/>
          <w:sz w:val="24"/>
          <w:szCs w:val="24"/>
        </w:rPr>
        <w:t>texturizadas</w:t>
      </w:r>
      <w:proofErr w:type="spellEnd"/>
      <w:r w:rsidR="00E70655" w:rsidRPr="002176BE">
        <w:rPr>
          <w:rFonts w:ascii="Times New Roman" w:hAnsi="Times New Roman" w:cs="Times New Roman"/>
          <w:sz w:val="24"/>
          <w:szCs w:val="24"/>
        </w:rPr>
        <w:t xml:space="preserve"> devem estar encaixadas e coladas na madeira;</w:t>
      </w:r>
    </w:p>
    <w:p w:rsidR="00E70655" w:rsidRPr="002176BE" w:rsidRDefault="00E70655" w:rsidP="00036DA8">
      <w:pPr>
        <w:pStyle w:val="PargrafodaLista"/>
        <w:numPr>
          <w:ilvl w:val="0"/>
          <w:numId w:val="13"/>
        </w:numPr>
        <w:spacing w:after="0" w:line="360" w:lineRule="auto"/>
        <w:ind w:hanging="357"/>
        <w:rPr>
          <w:rFonts w:ascii="Times New Roman" w:hAnsi="Times New Roman" w:cs="Times New Roman"/>
          <w:sz w:val="24"/>
          <w:szCs w:val="24"/>
        </w:rPr>
      </w:pPr>
      <w:r w:rsidRPr="002176BE">
        <w:rPr>
          <w:rFonts w:ascii="Times New Roman" w:hAnsi="Times New Roman" w:cs="Times New Roman"/>
          <w:sz w:val="24"/>
          <w:szCs w:val="24"/>
        </w:rPr>
        <w:t>Dimensões</w:t>
      </w:r>
      <w:r w:rsidR="00036DA8" w:rsidRPr="002176BE">
        <w:rPr>
          <w:rFonts w:ascii="Times New Roman" w:hAnsi="Times New Roman" w:cs="Times New Roman"/>
          <w:sz w:val="24"/>
          <w:szCs w:val="24"/>
        </w:rPr>
        <w:t xml:space="preserve"> da peça</w:t>
      </w:r>
      <w:r w:rsidRPr="002176BE">
        <w:rPr>
          <w:rFonts w:ascii="Times New Roman" w:hAnsi="Times New Roman" w:cs="Times New Roman"/>
          <w:sz w:val="24"/>
          <w:szCs w:val="24"/>
        </w:rPr>
        <w:t xml:space="preserve">: </w:t>
      </w:r>
    </w:p>
    <w:p w:rsidR="00036DA8" w:rsidRPr="002176BE" w:rsidRDefault="00E70655" w:rsidP="00036DA8">
      <w:pPr>
        <w:pStyle w:val="Padro"/>
        <w:numPr>
          <w:ilvl w:val="0"/>
          <w:numId w:val="14"/>
        </w:numPr>
        <w:spacing w:after="0" w:line="360" w:lineRule="auto"/>
        <w:ind w:hanging="357"/>
        <w:jc w:val="both"/>
        <w:rPr>
          <w:sz w:val="24"/>
          <w:szCs w:val="24"/>
        </w:rPr>
      </w:pPr>
      <w:proofErr w:type="gramStart"/>
      <w:r w:rsidRPr="002176BE">
        <w:rPr>
          <w:rFonts w:ascii="Times New Roman" w:hAnsi="Times New Roman" w:cs="Times New Roman"/>
          <w:sz w:val="24"/>
          <w:szCs w:val="24"/>
        </w:rPr>
        <w:t>7</w:t>
      </w:r>
      <w:proofErr w:type="gramEnd"/>
      <w:r w:rsidRPr="002176BE">
        <w:rPr>
          <w:rFonts w:ascii="Times New Roman" w:hAnsi="Times New Roman" w:cs="Times New Roman"/>
          <w:sz w:val="24"/>
          <w:szCs w:val="24"/>
        </w:rPr>
        <w:t xml:space="preserve"> cm de comprimento;</w:t>
      </w:r>
    </w:p>
    <w:p w:rsidR="00E70655" w:rsidRPr="003E7F89" w:rsidRDefault="00E70655" w:rsidP="00036DA8">
      <w:pPr>
        <w:pStyle w:val="Padro"/>
        <w:numPr>
          <w:ilvl w:val="0"/>
          <w:numId w:val="14"/>
        </w:numPr>
        <w:spacing w:after="0" w:line="360" w:lineRule="auto"/>
        <w:ind w:hanging="357"/>
        <w:jc w:val="both"/>
        <w:rPr>
          <w:sz w:val="24"/>
          <w:szCs w:val="24"/>
        </w:rPr>
      </w:pPr>
      <w:r w:rsidRPr="002176BE">
        <w:rPr>
          <w:rFonts w:ascii="Times New Roman" w:hAnsi="Times New Roman" w:cs="Times New Roman"/>
          <w:sz w:val="24"/>
          <w:szCs w:val="24"/>
        </w:rPr>
        <w:t>12 mm de espessura</w:t>
      </w:r>
      <w:r w:rsidR="00036DA8">
        <w:rPr>
          <w:rFonts w:ascii="Times New Roman" w:hAnsi="Times New Roman" w:cs="Times New Roman"/>
          <w:sz w:val="24"/>
          <w:szCs w:val="24"/>
        </w:rPr>
        <w:t>.</w:t>
      </w:r>
    </w:p>
    <w:p w:rsidR="00F12658" w:rsidRPr="00EE4B1F" w:rsidRDefault="003E7F89" w:rsidP="00EE4B1F">
      <w:pPr>
        <w:pStyle w:val="Padro"/>
        <w:numPr>
          <w:ilvl w:val="0"/>
          <w:numId w:val="17"/>
        </w:numPr>
        <w:spacing w:after="0" w:line="360" w:lineRule="auto"/>
        <w:jc w:val="both"/>
        <w:rPr>
          <w:rFonts w:ascii="Times New Roman" w:hAnsi="Times New Roman" w:cs="Times New Roman"/>
          <w:sz w:val="24"/>
          <w:szCs w:val="24"/>
        </w:rPr>
      </w:pPr>
      <w:r w:rsidRPr="003E7F89">
        <w:rPr>
          <w:rFonts w:ascii="Times New Roman" w:hAnsi="Times New Roman" w:cs="Times New Roman"/>
          <w:sz w:val="24"/>
          <w:szCs w:val="24"/>
        </w:rPr>
        <w:t>Selo do INMETRO.</w:t>
      </w:r>
    </w:p>
    <w:p w:rsidR="003054BD" w:rsidRPr="00F9604E" w:rsidRDefault="00315B59" w:rsidP="00F9604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A51464" w:rsidRPr="00677564" w:rsidRDefault="00B425E0" w:rsidP="003E7F89">
      <w:pPr>
        <w:pStyle w:val="Padro"/>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jogo de memória</w:t>
      </w:r>
      <w:r w:rsidR="00860460">
        <w:rPr>
          <w:rFonts w:ascii="Times New Roman" w:hAnsi="Times New Roman" w:cs="Times New Roman"/>
          <w:sz w:val="24"/>
          <w:szCs w:val="24"/>
        </w:rPr>
        <w:t xml:space="preserve"> com textura deverá ser isento de rebarbas ou partes pontiagudas e/ou cortantes</w:t>
      </w:r>
      <w:r w:rsidR="00D55DA1" w:rsidRPr="00677564">
        <w:rPr>
          <w:rFonts w:ascii="Times New Roman" w:hAnsi="Times New Roman" w:cs="Times New Roman"/>
          <w:sz w:val="24"/>
          <w:szCs w:val="24"/>
        </w:rPr>
        <w:t>.</w:t>
      </w:r>
    </w:p>
    <w:p w:rsidR="004E6F56" w:rsidRPr="00677564" w:rsidRDefault="00D55DA1" w:rsidP="003E7F89">
      <w:pPr>
        <w:autoSpaceDE w:val="0"/>
        <w:autoSpaceDN w:val="0"/>
        <w:adjustRightInd w:val="0"/>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 xml:space="preserve">4.2. </w:t>
      </w:r>
      <w:r w:rsidRPr="00677564">
        <w:rPr>
          <w:rFonts w:ascii="Times New Roman" w:hAnsi="Times New Roman" w:cs="Times New Roman"/>
          <w:b/>
          <w:sz w:val="24"/>
          <w:szCs w:val="24"/>
        </w:rPr>
        <w:tab/>
      </w:r>
      <w:r w:rsidRPr="00677564">
        <w:rPr>
          <w:rFonts w:ascii="Times New Roman" w:hAnsi="Times New Roman" w:cs="Times New Roman"/>
          <w:sz w:val="24"/>
          <w:szCs w:val="24"/>
        </w:rPr>
        <w:t xml:space="preserve">As tolerâncias </w:t>
      </w:r>
      <w:r w:rsidR="00B425E0">
        <w:rPr>
          <w:rFonts w:ascii="Times New Roman" w:hAnsi="Times New Roman" w:cs="Times New Roman"/>
          <w:sz w:val="24"/>
          <w:szCs w:val="24"/>
        </w:rPr>
        <w:t>dimensionais das peças do jogo de memória</w:t>
      </w:r>
      <w:r w:rsidR="00860460">
        <w:rPr>
          <w:rFonts w:ascii="Times New Roman" w:hAnsi="Times New Roman" w:cs="Times New Roman"/>
          <w:sz w:val="24"/>
          <w:szCs w:val="24"/>
        </w:rPr>
        <w:t xml:space="preserve"> com textura</w:t>
      </w:r>
      <w:r w:rsidR="00A63042">
        <w:rPr>
          <w:rFonts w:ascii="Times New Roman" w:hAnsi="Times New Roman" w:cs="Times New Roman"/>
          <w:sz w:val="24"/>
          <w:szCs w:val="24"/>
        </w:rPr>
        <w:t xml:space="preserve"> deverão ser de +</w:t>
      </w:r>
      <w:r w:rsidR="00433F33">
        <w:rPr>
          <w:rFonts w:ascii="Times New Roman" w:hAnsi="Times New Roman" w:cs="Times New Roman"/>
          <w:sz w:val="24"/>
          <w:szCs w:val="24"/>
        </w:rPr>
        <w:t xml:space="preserve"> </w:t>
      </w:r>
      <w:r w:rsidR="00A63042">
        <w:rPr>
          <w:rFonts w:ascii="Times New Roman" w:hAnsi="Times New Roman" w:cs="Times New Roman"/>
          <w:sz w:val="24"/>
          <w:szCs w:val="24"/>
        </w:rPr>
        <w:t>-</w:t>
      </w:r>
      <w:r w:rsidR="00860460">
        <w:rPr>
          <w:rFonts w:ascii="Times New Roman" w:hAnsi="Times New Roman" w:cs="Times New Roman"/>
          <w:sz w:val="24"/>
          <w:szCs w:val="24"/>
        </w:rPr>
        <w:t>5</w:t>
      </w:r>
      <w:r w:rsidR="00F273BF">
        <w:rPr>
          <w:rFonts w:ascii="Times New Roman" w:hAnsi="Times New Roman" w:cs="Times New Roman"/>
          <w:sz w:val="24"/>
          <w:szCs w:val="24"/>
        </w:rPr>
        <w:t>% (</w:t>
      </w:r>
      <w:r w:rsidR="00860460">
        <w:rPr>
          <w:rFonts w:ascii="Times New Roman" w:hAnsi="Times New Roman" w:cs="Times New Roman"/>
          <w:sz w:val="24"/>
          <w:szCs w:val="24"/>
        </w:rPr>
        <w:t>cinco</w:t>
      </w:r>
      <w:r w:rsidR="00C62ECB" w:rsidRPr="00677564">
        <w:rPr>
          <w:rFonts w:ascii="Times New Roman" w:hAnsi="Times New Roman" w:cs="Times New Roman"/>
          <w:sz w:val="24"/>
          <w:szCs w:val="24"/>
        </w:rPr>
        <w:t xml:space="preserve"> por cento).</w:t>
      </w:r>
    </w:p>
    <w:p w:rsidR="003E3694" w:rsidRPr="00677564" w:rsidRDefault="00A9209C" w:rsidP="003E7F89">
      <w:pPr>
        <w:spacing w:after="0" w:line="360" w:lineRule="auto"/>
        <w:jc w:val="both"/>
        <w:rPr>
          <w:rFonts w:ascii="Times New Roman" w:hAnsi="Times New Roman" w:cs="Times New Roman"/>
          <w:sz w:val="24"/>
          <w:szCs w:val="24"/>
        </w:rPr>
      </w:pPr>
      <w:r w:rsidRPr="00677564">
        <w:rPr>
          <w:rFonts w:ascii="Times New Roman" w:hAnsi="Times New Roman" w:cs="Times New Roman"/>
          <w:b/>
          <w:sz w:val="24"/>
          <w:szCs w:val="24"/>
        </w:rPr>
        <w:t>4.3.</w:t>
      </w:r>
      <w:r w:rsidRPr="00677564">
        <w:rPr>
          <w:rFonts w:ascii="Times New Roman" w:hAnsi="Times New Roman" w:cs="Times New Roman"/>
          <w:sz w:val="24"/>
          <w:szCs w:val="24"/>
        </w:rPr>
        <w:tab/>
      </w:r>
      <w:r w:rsidR="00F60535">
        <w:rPr>
          <w:rFonts w:ascii="Times New Roman" w:hAnsi="Times New Roman" w:cs="Times New Roman"/>
          <w:sz w:val="24"/>
          <w:szCs w:val="24"/>
        </w:rPr>
        <w:t xml:space="preserve">O </w:t>
      </w:r>
      <w:r w:rsidR="00B425E0">
        <w:rPr>
          <w:rFonts w:ascii="Times New Roman" w:hAnsi="Times New Roman" w:cs="Times New Roman"/>
          <w:sz w:val="24"/>
          <w:szCs w:val="24"/>
        </w:rPr>
        <w:t xml:space="preserve">jogo de memória </w:t>
      </w:r>
      <w:r w:rsidR="00F60535">
        <w:rPr>
          <w:rFonts w:ascii="Times New Roman" w:hAnsi="Times New Roman" w:cs="Times New Roman"/>
          <w:sz w:val="24"/>
          <w:szCs w:val="24"/>
        </w:rPr>
        <w:t>com textura</w:t>
      </w:r>
      <w:r w:rsidRPr="00677564">
        <w:rPr>
          <w:rFonts w:ascii="Times New Roman" w:hAnsi="Times New Roman" w:cs="Times New Roman"/>
          <w:sz w:val="24"/>
          <w:szCs w:val="24"/>
        </w:rPr>
        <w:t xml:space="preserve"> </w:t>
      </w:r>
      <w:r w:rsidR="00ED2B51">
        <w:rPr>
          <w:rFonts w:ascii="Times New Roman" w:hAnsi="Times New Roman" w:cs="Times New Roman"/>
          <w:sz w:val="24"/>
          <w:szCs w:val="24"/>
        </w:rPr>
        <w:t xml:space="preserve">deverá acompanhar o </w:t>
      </w:r>
      <w:r w:rsidR="003C4252">
        <w:rPr>
          <w:rFonts w:ascii="Times New Roman" w:hAnsi="Times New Roman" w:cs="Times New Roman"/>
          <w:sz w:val="24"/>
          <w:szCs w:val="24"/>
        </w:rPr>
        <w:t>respectivo M</w:t>
      </w:r>
      <w:bookmarkStart w:id="1" w:name="_GoBack"/>
      <w:bookmarkEnd w:id="1"/>
      <w:r w:rsidR="005975FA" w:rsidRPr="00677564">
        <w:rPr>
          <w:rFonts w:ascii="Times New Roman" w:hAnsi="Times New Roman" w:cs="Times New Roman"/>
          <w:sz w:val="24"/>
          <w:szCs w:val="24"/>
        </w:rPr>
        <w:t>anual de uso</w:t>
      </w:r>
      <w:r w:rsidR="00B425E0">
        <w:rPr>
          <w:rFonts w:ascii="Times New Roman" w:hAnsi="Times New Roman" w:cs="Times New Roman"/>
          <w:sz w:val="24"/>
          <w:szCs w:val="24"/>
        </w:rPr>
        <w:t xml:space="preserve"> </w:t>
      </w:r>
      <w:r w:rsidR="00ED2B51">
        <w:rPr>
          <w:rFonts w:ascii="Times New Roman" w:hAnsi="Times New Roman" w:cs="Times New Roman"/>
          <w:sz w:val="24"/>
          <w:szCs w:val="24"/>
        </w:rPr>
        <w:t>e conservação em p</w:t>
      </w:r>
      <w:r w:rsidR="005975FA" w:rsidRPr="00677564">
        <w:rPr>
          <w:rFonts w:ascii="Times New Roman" w:hAnsi="Times New Roman" w:cs="Times New Roman"/>
          <w:sz w:val="24"/>
          <w:szCs w:val="24"/>
        </w:rPr>
        <w:t>ortuguês</w:t>
      </w:r>
      <w:r w:rsidR="003E7F89">
        <w:rPr>
          <w:rFonts w:ascii="Times New Roman" w:hAnsi="Times New Roman" w:cs="Times New Roman"/>
          <w:sz w:val="24"/>
          <w:szCs w:val="24"/>
        </w:rPr>
        <w:t xml:space="preserve"> (conforme </w:t>
      </w:r>
      <w:r w:rsidR="003A7CF5">
        <w:rPr>
          <w:rFonts w:ascii="Times New Roman" w:hAnsi="Times New Roman" w:cs="Times New Roman"/>
          <w:sz w:val="24"/>
          <w:szCs w:val="24"/>
        </w:rPr>
        <w:t>Anexo I</w:t>
      </w:r>
      <w:r w:rsidR="003E7F89">
        <w:rPr>
          <w:rFonts w:ascii="Times New Roman" w:hAnsi="Times New Roman" w:cs="Times New Roman"/>
          <w:sz w:val="24"/>
          <w:szCs w:val="24"/>
        </w:rPr>
        <w:t>)</w:t>
      </w:r>
      <w:r w:rsidR="005975FA" w:rsidRPr="00677564">
        <w:rPr>
          <w:rFonts w:ascii="Times New Roman" w:hAnsi="Times New Roman" w:cs="Times New Roman"/>
          <w:sz w:val="24"/>
          <w:szCs w:val="24"/>
        </w:rPr>
        <w:t>.</w:t>
      </w:r>
      <w:r w:rsidR="00F60535">
        <w:rPr>
          <w:rFonts w:ascii="Times New Roman" w:hAnsi="Times New Roman" w:cs="Times New Roman"/>
          <w:sz w:val="24"/>
          <w:szCs w:val="24"/>
        </w:rPr>
        <w:t xml:space="preserve"> </w:t>
      </w:r>
    </w:p>
    <w:p w:rsidR="00786623" w:rsidRDefault="00A9209C" w:rsidP="003E7F89">
      <w:pPr>
        <w:spacing w:after="0" w:line="360" w:lineRule="auto"/>
        <w:jc w:val="both"/>
        <w:rPr>
          <w:rFonts w:ascii="Times New Roman" w:hAnsi="Times New Roman" w:cs="Times New Roman"/>
          <w:sz w:val="24"/>
          <w:szCs w:val="24"/>
        </w:rPr>
      </w:pPr>
      <w:r w:rsidRPr="00677564">
        <w:rPr>
          <w:rFonts w:ascii="Times New Roman" w:hAnsi="Times New Roman" w:cs="Times New Roman"/>
          <w:b/>
          <w:sz w:val="24"/>
          <w:szCs w:val="24"/>
        </w:rPr>
        <w:t>4.4.</w:t>
      </w:r>
      <w:r w:rsidRPr="00677564">
        <w:rPr>
          <w:rFonts w:ascii="Times New Roman" w:hAnsi="Times New Roman" w:cs="Times New Roman"/>
          <w:b/>
          <w:sz w:val="24"/>
          <w:szCs w:val="24"/>
        </w:rPr>
        <w:tab/>
      </w:r>
      <w:r w:rsidR="00786623">
        <w:rPr>
          <w:rFonts w:ascii="Times New Roman" w:hAnsi="Times New Roman" w:cs="Times New Roman"/>
          <w:sz w:val="24"/>
          <w:szCs w:val="24"/>
        </w:rPr>
        <w:t xml:space="preserve">O </w:t>
      </w:r>
      <w:r w:rsidR="00B425E0">
        <w:rPr>
          <w:rFonts w:ascii="Times New Roman" w:hAnsi="Times New Roman" w:cs="Times New Roman"/>
          <w:sz w:val="24"/>
          <w:szCs w:val="24"/>
        </w:rPr>
        <w:t>jogo de memória</w:t>
      </w:r>
      <w:r w:rsidR="00786623">
        <w:rPr>
          <w:rFonts w:ascii="Times New Roman" w:hAnsi="Times New Roman" w:cs="Times New Roman"/>
          <w:sz w:val="24"/>
          <w:szCs w:val="24"/>
        </w:rPr>
        <w:t xml:space="preserve"> com textura</w:t>
      </w:r>
      <w:r w:rsidR="00677564" w:rsidRPr="00677564">
        <w:rPr>
          <w:rFonts w:ascii="Times New Roman" w:hAnsi="Times New Roman" w:cs="Times New Roman"/>
          <w:sz w:val="24"/>
          <w:szCs w:val="24"/>
        </w:rPr>
        <w:t xml:space="preserve"> deverá ser emba</w:t>
      </w:r>
      <w:r w:rsidR="00786623">
        <w:rPr>
          <w:rFonts w:ascii="Times New Roman" w:hAnsi="Times New Roman" w:cs="Times New Roman"/>
          <w:sz w:val="24"/>
          <w:szCs w:val="24"/>
        </w:rPr>
        <w:t>lado individualmente em saco de TNT com cordão para fechar a embalagem.</w:t>
      </w:r>
    </w:p>
    <w:p w:rsidR="00677564" w:rsidRPr="00677564" w:rsidRDefault="00786623" w:rsidP="003E7F89">
      <w:pPr>
        <w:spacing w:after="0" w:line="360" w:lineRule="auto"/>
        <w:jc w:val="both"/>
        <w:rPr>
          <w:rFonts w:ascii="Times New Roman" w:hAnsi="Times New Roman" w:cs="Times New Roman"/>
          <w:sz w:val="24"/>
          <w:szCs w:val="24"/>
        </w:rPr>
      </w:pPr>
      <w:r w:rsidRPr="00786623">
        <w:rPr>
          <w:rFonts w:ascii="Times New Roman" w:hAnsi="Times New Roman" w:cs="Times New Roman"/>
          <w:b/>
          <w:sz w:val="24"/>
          <w:szCs w:val="24"/>
        </w:rPr>
        <w:t>4.4.1.</w:t>
      </w:r>
      <w:r>
        <w:rPr>
          <w:rFonts w:ascii="Times New Roman" w:hAnsi="Times New Roman" w:cs="Times New Roman"/>
          <w:sz w:val="24"/>
          <w:szCs w:val="24"/>
        </w:rPr>
        <w:t xml:space="preserve">   Depois de embalado, o </w:t>
      </w:r>
      <w:r w:rsidR="00B425E0">
        <w:rPr>
          <w:rFonts w:ascii="Times New Roman" w:hAnsi="Times New Roman" w:cs="Times New Roman"/>
          <w:sz w:val="24"/>
          <w:szCs w:val="24"/>
        </w:rPr>
        <w:t>jogo de memória</w:t>
      </w:r>
      <w:r>
        <w:rPr>
          <w:rFonts w:ascii="Times New Roman" w:hAnsi="Times New Roman" w:cs="Times New Roman"/>
          <w:sz w:val="24"/>
          <w:szCs w:val="24"/>
        </w:rPr>
        <w:t xml:space="preserve"> deverá</w:t>
      </w:r>
      <w:r w:rsidR="00677564" w:rsidRPr="00677564">
        <w:rPr>
          <w:rFonts w:ascii="Times New Roman" w:hAnsi="Times New Roman" w:cs="Times New Roman"/>
          <w:sz w:val="24"/>
          <w:szCs w:val="24"/>
        </w:rPr>
        <w:t xml:space="preserve"> </w:t>
      </w:r>
      <w:r>
        <w:rPr>
          <w:rFonts w:ascii="Times New Roman" w:hAnsi="Times New Roman" w:cs="Times New Roman"/>
          <w:sz w:val="24"/>
          <w:szCs w:val="24"/>
        </w:rPr>
        <w:t xml:space="preserve">ser </w:t>
      </w:r>
      <w:r w:rsidR="00677564" w:rsidRPr="00677564">
        <w:rPr>
          <w:rFonts w:ascii="Times New Roman" w:hAnsi="Times New Roman" w:cs="Times New Roman"/>
          <w:sz w:val="24"/>
          <w:szCs w:val="24"/>
        </w:rPr>
        <w:t>acondicionado</w:t>
      </w:r>
      <w:r w:rsidR="003E7F89">
        <w:rPr>
          <w:rFonts w:ascii="Times New Roman" w:hAnsi="Times New Roman" w:cs="Times New Roman"/>
          <w:sz w:val="24"/>
          <w:szCs w:val="24"/>
        </w:rPr>
        <w:t xml:space="preserve"> em caixa de papelão para</w:t>
      </w:r>
      <w:r w:rsidR="00A9209C" w:rsidRPr="00677564">
        <w:rPr>
          <w:rFonts w:ascii="Times New Roman" w:hAnsi="Times New Roman" w:cs="Times New Roman"/>
          <w:sz w:val="24"/>
          <w:szCs w:val="24"/>
        </w:rPr>
        <w:t xml:space="preserve"> transporte</w:t>
      </w:r>
      <w:r w:rsidR="003E7F89">
        <w:rPr>
          <w:rFonts w:ascii="Times New Roman" w:hAnsi="Times New Roman" w:cs="Times New Roman"/>
          <w:sz w:val="24"/>
          <w:szCs w:val="24"/>
        </w:rPr>
        <w:t>,</w:t>
      </w:r>
      <w:r w:rsidR="00A9209C" w:rsidRPr="00677564">
        <w:rPr>
          <w:rFonts w:ascii="Times New Roman" w:hAnsi="Times New Roman" w:cs="Times New Roman"/>
          <w:sz w:val="24"/>
          <w:szCs w:val="24"/>
        </w:rPr>
        <w:t xml:space="preserve"> com o quantitativo sufi</w:t>
      </w:r>
      <w:r>
        <w:rPr>
          <w:rFonts w:ascii="Times New Roman" w:hAnsi="Times New Roman" w:cs="Times New Roman"/>
          <w:sz w:val="24"/>
          <w:szCs w:val="24"/>
        </w:rPr>
        <w:t>ciente que não danifique o</w:t>
      </w:r>
      <w:r w:rsidR="003E7F89">
        <w:rPr>
          <w:rFonts w:ascii="Times New Roman" w:hAnsi="Times New Roman" w:cs="Times New Roman"/>
          <w:sz w:val="24"/>
          <w:szCs w:val="24"/>
        </w:rPr>
        <w:t xml:space="preserve"> brinquedo</w:t>
      </w:r>
      <w:r w:rsidR="00A9209C" w:rsidRPr="00677564">
        <w:rPr>
          <w:rFonts w:ascii="Times New Roman" w:hAnsi="Times New Roman" w:cs="Times New Roman"/>
          <w:sz w:val="24"/>
          <w:szCs w:val="24"/>
        </w:rPr>
        <w:t xml:space="preserve">. </w:t>
      </w:r>
    </w:p>
    <w:p w:rsidR="00A9209C" w:rsidRPr="00677564" w:rsidRDefault="00677564" w:rsidP="003E7F89">
      <w:pPr>
        <w:pStyle w:val="textoprincipalcombulletsTextosfichas"/>
        <w:spacing w:line="360" w:lineRule="auto"/>
        <w:jc w:val="both"/>
        <w:rPr>
          <w:rFonts w:ascii="Times New Roman" w:hAnsi="Times New Roman" w:cs="Times New Roman"/>
          <w:color w:val="auto"/>
          <w:sz w:val="24"/>
          <w:szCs w:val="24"/>
        </w:rPr>
      </w:pPr>
      <w:r w:rsidRPr="00677564">
        <w:rPr>
          <w:rFonts w:ascii="Times New Roman" w:hAnsi="Times New Roman" w:cs="Times New Roman"/>
          <w:b/>
          <w:color w:val="auto"/>
          <w:sz w:val="24"/>
          <w:szCs w:val="24"/>
        </w:rPr>
        <w:t>4.4.2.</w:t>
      </w:r>
      <w:r w:rsidR="00A9209C"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sidR="00844001">
        <w:rPr>
          <w:rFonts w:ascii="Times New Roman" w:hAnsi="Times New Roman" w:cs="Times New Roman"/>
          <w:color w:val="auto"/>
          <w:sz w:val="24"/>
          <w:szCs w:val="24"/>
        </w:rPr>
        <w:tab/>
      </w:r>
      <w:r w:rsidR="0027342B">
        <w:rPr>
          <w:rFonts w:ascii="Times New Roman" w:hAnsi="Times New Roman" w:cs="Times New Roman"/>
          <w:color w:val="auto"/>
          <w:sz w:val="24"/>
          <w:szCs w:val="24"/>
        </w:rPr>
        <w:t xml:space="preserve"> </w:t>
      </w:r>
      <w:r w:rsidR="00A9209C" w:rsidRPr="0067756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A9209C" w:rsidRPr="00677564" w:rsidRDefault="00677564" w:rsidP="003E7F89">
      <w:pPr>
        <w:spacing w:after="0" w:line="360" w:lineRule="auto"/>
        <w:jc w:val="both"/>
        <w:rPr>
          <w:rFonts w:ascii="Times New Roman" w:hAnsi="Times New Roman" w:cs="Times New Roman"/>
          <w:bCs/>
          <w:sz w:val="24"/>
          <w:szCs w:val="24"/>
        </w:rPr>
      </w:pPr>
      <w:r w:rsidRPr="00677564">
        <w:rPr>
          <w:rFonts w:ascii="Times New Roman" w:hAnsi="Times New Roman" w:cs="Times New Roman"/>
          <w:b/>
          <w:bCs/>
          <w:sz w:val="24"/>
          <w:szCs w:val="24"/>
        </w:rPr>
        <w:t>4.4.3</w:t>
      </w:r>
      <w:r w:rsidR="00A9209C" w:rsidRPr="00677564">
        <w:rPr>
          <w:rFonts w:ascii="Times New Roman" w:hAnsi="Times New Roman" w:cs="Times New Roman"/>
          <w:b/>
          <w:bCs/>
          <w:sz w:val="24"/>
          <w:szCs w:val="24"/>
        </w:rPr>
        <w:t>.</w:t>
      </w:r>
      <w:r w:rsidR="00A9209C"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sidR="0027342B">
        <w:rPr>
          <w:rFonts w:ascii="Times New Roman" w:hAnsi="Times New Roman" w:cs="Times New Roman"/>
          <w:bCs/>
          <w:sz w:val="24"/>
          <w:szCs w:val="24"/>
        </w:rPr>
        <w:t xml:space="preserve"> </w:t>
      </w:r>
      <w:r w:rsidR="00A9209C"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677564" w:rsidRPr="00677564" w:rsidRDefault="00677564" w:rsidP="003E7F89">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w:t>
      </w:r>
      <w:r w:rsidR="00433F33">
        <w:rPr>
          <w:rFonts w:ascii="Times New Roman" w:hAnsi="Times New Roman" w:cs="Times New Roman"/>
          <w:sz w:val="24"/>
          <w:szCs w:val="24"/>
        </w:rPr>
        <w:t xml:space="preserve">(três) </w:t>
      </w:r>
      <w:r w:rsidRPr="00677564">
        <w:rPr>
          <w:rFonts w:ascii="Times New Roman" w:hAnsi="Times New Roman" w:cs="Times New Roman"/>
          <w:sz w:val="24"/>
          <w:szCs w:val="24"/>
        </w:rPr>
        <w:t xml:space="preserve">meses contra defeitos de fabricação, a partir da data </w:t>
      </w:r>
      <w:r w:rsidR="0027342B">
        <w:rPr>
          <w:rFonts w:ascii="Times New Roman" w:hAnsi="Times New Roman" w:cs="Times New Roman"/>
          <w:sz w:val="24"/>
          <w:szCs w:val="24"/>
        </w:rPr>
        <w:t xml:space="preserve">da entrega do </w:t>
      </w:r>
      <w:r w:rsidR="00B425E0">
        <w:rPr>
          <w:rFonts w:ascii="Times New Roman" w:hAnsi="Times New Roman" w:cs="Times New Roman"/>
          <w:sz w:val="24"/>
          <w:szCs w:val="24"/>
        </w:rPr>
        <w:t xml:space="preserve">jogo de memória </w:t>
      </w:r>
      <w:r w:rsidR="0027342B">
        <w:rPr>
          <w:rFonts w:ascii="Times New Roman" w:hAnsi="Times New Roman" w:cs="Times New Roman"/>
          <w:sz w:val="24"/>
          <w:szCs w:val="24"/>
        </w:rPr>
        <w:t>com textura</w:t>
      </w:r>
      <w:r w:rsidRPr="00677564">
        <w:rPr>
          <w:rFonts w:ascii="Times New Roman" w:hAnsi="Times New Roman" w:cs="Times New Roman"/>
          <w:sz w:val="24"/>
          <w:szCs w:val="24"/>
        </w:rPr>
        <w:t xml:space="preserve">. </w:t>
      </w:r>
    </w:p>
    <w:p w:rsidR="00042F67" w:rsidRPr="00EE4B1F" w:rsidRDefault="005B42AE" w:rsidP="00EE4B1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00677564" w:rsidRPr="00677564">
        <w:rPr>
          <w:rFonts w:ascii="Times New Roman" w:hAnsi="Times New Roman" w:cs="Times New Roman"/>
          <w:b/>
          <w:sz w:val="24"/>
          <w:szCs w:val="24"/>
        </w:rPr>
        <w:t>.</w:t>
      </w:r>
      <w:r w:rsidR="00677564" w:rsidRPr="00677564">
        <w:rPr>
          <w:rFonts w:ascii="Times New Roman" w:hAnsi="Times New Roman" w:cs="Times New Roman"/>
          <w:sz w:val="24"/>
          <w:szCs w:val="24"/>
        </w:rPr>
        <w:t xml:space="preserve"> </w:t>
      </w:r>
      <w:r>
        <w:rPr>
          <w:rFonts w:ascii="Times New Roman" w:hAnsi="Times New Roman" w:cs="Times New Roman"/>
          <w:sz w:val="24"/>
          <w:szCs w:val="24"/>
        </w:rPr>
        <w:tab/>
      </w:r>
      <w:r w:rsidR="0027342B">
        <w:rPr>
          <w:rFonts w:ascii="Times New Roman" w:hAnsi="Times New Roman" w:cs="Times New Roman"/>
          <w:sz w:val="24"/>
          <w:szCs w:val="24"/>
        </w:rPr>
        <w:t xml:space="preserve"> </w:t>
      </w:r>
      <w:r w:rsidR="00677564" w:rsidRPr="00677564">
        <w:rPr>
          <w:rFonts w:ascii="Times New Roman" w:hAnsi="Times New Roman" w:cs="Times New Roman"/>
          <w:sz w:val="24"/>
          <w:szCs w:val="24"/>
        </w:rPr>
        <w:t>A data para cálculo da garantia deve ter como base a data da efetiva entrega do</w:t>
      </w:r>
      <w:r w:rsidR="00B425E0">
        <w:rPr>
          <w:rFonts w:ascii="Times New Roman" w:hAnsi="Times New Roman" w:cs="Times New Roman"/>
          <w:sz w:val="24"/>
          <w:szCs w:val="24"/>
        </w:rPr>
        <w:t xml:space="preserve"> </w:t>
      </w:r>
      <w:r w:rsidR="00C812F3">
        <w:rPr>
          <w:rFonts w:ascii="Times New Roman" w:hAnsi="Times New Roman" w:cs="Times New Roman"/>
          <w:sz w:val="24"/>
          <w:szCs w:val="24"/>
        </w:rPr>
        <w:t xml:space="preserve">jogo de memória </w:t>
      </w:r>
      <w:r w:rsidR="0027342B">
        <w:rPr>
          <w:rFonts w:ascii="Times New Roman" w:hAnsi="Times New Roman" w:cs="Times New Roman"/>
          <w:sz w:val="24"/>
          <w:szCs w:val="24"/>
        </w:rPr>
        <w:t>com textura</w:t>
      </w:r>
      <w:r w:rsidR="000E7AC5">
        <w:rPr>
          <w:rFonts w:ascii="Times New Roman" w:hAnsi="Times New Roman" w:cs="Times New Roman"/>
          <w:sz w:val="24"/>
          <w:szCs w:val="24"/>
        </w:rPr>
        <w:t xml:space="preserve"> à CONTRATANTE</w:t>
      </w:r>
      <w:r w:rsidR="00677564" w:rsidRPr="00677564">
        <w:rPr>
          <w:rFonts w:ascii="Times New Roman" w:hAnsi="Times New Roman" w:cs="Times New Roman"/>
          <w:sz w:val="24"/>
          <w:szCs w:val="24"/>
        </w:rPr>
        <w:t>.</w:t>
      </w:r>
    </w:p>
    <w:p w:rsidR="003C75AB" w:rsidRPr="003B0940" w:rsidRDefault="003C75AB" w:rsidP="00F1265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442404" w:rsidRPr="00D81A2D" w:rsidRDefault="00442404" w:rsidP="00442404">
      <w:pPr>
        <w:pStyle w:val="PargrafodaLista"/>
        <w:numPr>
          <w:ilvl w:val="1"/>
          <w:numId w:val="15"/>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442404" w:rsidRDefault="00442404" w:rsidP="00442404">
      <w:pPr>
        <w:pStyle w:val="PargrafodaLista"/>
        <w:numPr>
          <w:ilvl w:val="1"/>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442404" w:rsidRDefault="00442404" w:rsidP="00442404">
      <w:pPr>
        <w:pStyle w:val="PargrafodaLista"/>
        <w:numPr>
          <w:ilvl w:val="2"/>
          <w:numId w:val="1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442404" w:rsidRDefault="00442404" w:rsidP="00442404">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442404" w:rsidRDefault="00442404" w:rsidP="00442404">
      <w:pPr>
        <w:pStyle w:val="PargrafodaLista"/>
        <w:numPr>
          <w:ilvl w:val="1"/>
          <w:numId w:val="15"/>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442404" w:rsidRDefault="00442404" w:rsidP="00442404">
      <w:pPr>
        <w:pStyle w:val="PargrafodaLista"/>
        <w:numPr>
          <w:ilvl w:val="1"/>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442404" w:rsidRDefault="00442404" w:rsidP="00442404">
      <w:pPr>
        <w:pStyle w:val="PargrafodaLista"/>
        <w:numPr>
          <w:ilvl w:val="1"/>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442404" w:rsidRDefault="00442404" w:rsidP="00442404">
      <w:pPr>
        <w:pStyle w:val="PargrafodaLista"/>
        <w:numPr>
          <w:ilvl w:val="1"/>
          <w:numId w:val="15"/>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442404" w:rsidRDefault="00442404" w:rsidP="00442404">
      <w:pPr>
        <w:pStyle w:val="PargrafodaLista"/>
        <w:numPr>
          <w:ilvl w:val="2"/>
          <w:numId w:val="15"/>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442404" w:rsidRPr="004B1A0C" w:rsidRDefault="00442404" w:rsidP="00442404">
      <w:pPr>
        <w:pStyle w:val="PargrafodaLista"/>
        <w:numPr>
          <w:ilvl w:val="3"/>
          <w:numId w:val="15"/>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442404" w:rsidRPr="00BF020E" w:rsidRDefault="00442404" w:rsidP="00442404">
      <w:pPr>
        <w:pStyle w:val="PargrafodaLista"/>
        <w:numPr>
          <w:ilvl w:val="3"/>
          <w:numId w:val="1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442404" w:rsidRDefault="00442404" w:rsidP="00442404">
      <w:pPr>
        <w:pStyle w:val="PargrafodaLista"/>
        <w:numPr>
          <w:ilvl w:val="3"/>
          <w:numId w:val="1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442404" w:rsidRDefault="00442404" w:rsidP="00442404">
      <w:pPr>
        <w:numPr>
          <w:ilvl w:val="0"/>
          <w:numId w:val="1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442404" w:rsidRDefault="00442404" w:rsidP="00442404">
      <w:pPr>
        <w:numPr>
          <w:ilvl w:val="0"/>
          <w:numId w:val="1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442404" w:rsidRDefault="00442404" w:rsidP="00442404">
      <w:pPr>
        <w:numPr>
          <w:ilvl w:val="0"/>
          <w:numId w:val="1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442404" w:rsidRDefault="00442404" w:rsidP="00442404">
      <w:pPr>
        <w:numPr>
          <w:ilvl w:val="0"/>
          <w:numId w:val="1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442404" w:rsidRDefault="00442404" w:rsidP="00442404">
      <w:pPr>
        <w:numPr>
          <w:ilvl w:val="0"/>
          <w:numId w:val="1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442404" w:rsidRDefault="00442404" w:rsidP="00442404">
      <w:pPr>
        <w:pStyle w:val="PargrafodaLista"/>
        <w:numPr>
          <w:ilvl w:val="3"/>
          <w:numId w:val="1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442404" w:rsidRDefault="00442404" w:rsidP="00442404">
      <w:pPr>
        <w:pStyle w:val="PargrafodaLista"/>
        <w:numPr>
          <w:ilvl w:val="3"/>
          <w:numId w:val="15"/>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442404" w:rsidRDefault="00442404" w:rsidP="00442404">
      <w:pPr>
        <w:pStyle w:val="PargrafodaLista"/>
        <w:numPr>
          <w:ilvl w:val="3"/>
          <w:numId w:val="1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442404" w:rsidRDefault="00442404" w:rsidP="00442404">
      <w:pPr>
        <w:pStyle w:val="PargrafodaLista"/>
        <w:numPr>
          <w:ilvl w:val="3"/>
          <w:numId w:val="1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442404" w:rsidRDefault="00442404" w:rsidP="00442404">
      <w:pPr>
        <w:pStyle w:val="PargrafodaLista"/>
        <w:numPr>
          <w:ilvl w:val="3"/>
          <w:numId w:val="1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442404" w:rsidRDefault="00442404" w:rsidP="00442404">
      <w:pPr>
        <w:pStyle w:val="PargrafodaLista"/>
        <w:numPr>
          <w:ilvl w:val="3"/>
          <w:numId w:val="15"/>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442404" w:rsidRPr="00ED18D6"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442404"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442404" w:rsidRPr="003E17E8"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442404" w:rsidRPr="003E17E8"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442404" w:rsidRPr="003E17E8"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442404" w:rsidRPr="003E17E8" w:rsidRDefault="00442404" w:rsidP="00442404">
      <w:pPr>
        <w:pStyle w:val="PargrafodaLista"/>
        <w:numPr>
          <w:ilvl w:val="3"/>
          <w:numId w:val="1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442404" w:rsidRPr="007D57E7" w:rsidRDefault="00442404" w:rsidP="00442404">
      <w:pPr>
        <w:pStyle w:val="PargrafodaLista"/>
        <w:numPr>
          <w:ilvl w:val="3"/>
          <w:numId w:val="1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442404" w:rsidRPr="00482087" w:rsidRDefault="00442404" w:rsidP="00442404">
      <w:pPr>
        <w:pStyle w:val="PargrafodaLista"/>
        <w:numPr>
          <w:ilvl w:val="3"/>
          <w:numId w:val="1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442404" w:rsidRPr="00C22C5C" w:rsidRDefault="00442404" w:rsidP="00442404">
      <w:pPr>
        <w:pStyle w:val="PargrafodaLista"/>
        <w:numPr>
          <w:ilvl w:val="3"/>
          <w:numId w:val="15"/>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442404" w:rsidRDefault="00442404" w:rsidP="00442404">
      <w:pPr>
        <w:pStyle w:val="PargrafodaLista"/>
        <w:numPr>
          <w:ilvl w:val="2"/>
          <w:numId w:val="15"/>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442404" w:rsidRPr="00224D69" w:rsidRDefault="00442404" w:rsidP="00442404">
      <w:pPr>
        <w:pStyle w:val="PargrafodaLista"/>
        <w:numPr>
          <w:ilvl w:val="3"/>
          <w:numId w:val="15"/>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442404" w:rsidRDefault="00442404" w:rsidP="00442404">
      <w:pPr>
        <w:pStyle w:val="PargrafodaLista"/>
        <w:numPr>
          <w:ilvl w:val="3"/>
          <w:numId w:val="15"/>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442404" w:rsidRDefault="00442404" w:rsidP="00442404">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442404"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404" w:rsidRDefault="00442404"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404" w:rsidRDefault="00442404"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404" w:rsidRDefault="00442404"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442404"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Início da Produção</w:t>
            </w:r>
          </w:p>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442404" w:rsidRDefault="00442404"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42404"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42404"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442404" w:rsidRDefault="00442404"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442404" w:rsidRDefault="00442404"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404" w:rsidRDefault="00442404"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442404" w:rsidRDefault="00442404" w:rsidP="00442404">
      <w:pPr>
        <w:spacing w:after="0" w:line="360" w:lineRule="auto"/>
        <w:rPr>
          <w:rFonts w:ascii="Times New Roman" w:eastAsiaTheme="minorHAnsi" w:hAnsi="Times New Roman" w:cs="Times New Roman"/>
          <w:b/>
          <w:bCs/>
          <w:sz w:val="24"/>
          <w:szCs w:val="24"/>
          <w:lang w:eastAsia="en-US"/>
        </w:rPr>
      </w:pP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442404" w:rsidRDefault="00442404" w:rsidP="00442404">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442404" w:rsidRDefault="00442404" w:rsidP="00442404">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442404" w:rsidRDefault="00442404" w:rsidP="0044240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Default="003A7CF5" w:rsidP="003A7CF5">
      <w:pPr>
        <w:pStyle w:val="PargrafodaLista"/>
        <w:tabs>
          <w:tab w:val="left" w:pos="993"/>
        </w:tabs>
        <w:spacing w:line="360" w:lineRule="auto"/>
        <w:jc w:val="both"/>
        <w:rPr>
          <w:rFonts w:ascii="Times New Roman" w:hAnsi="Times New Roman" w:cs="Times New Roman"/>
          <w:sz w:val="24"/>
          <w:szCs w:val="24"/>
        </w:rPr>
      </w:pPr>
    </w:p>
    <w:p w:rsidR="003A7CF5" w:rsidRPr="003A7CF5" w:rsidRDefault="003A7CF5" w:rsidP="003A7CF5">
      <w:pPr>
        <w:pStyle w:val="PargrafodaLista"/>
        <w:spacing w:line="360" w:lineRule="auto"/>
        <w:ind w:left="0"/>
        <w:jc w:val="both"/>
        <w:rPr>
          <w:rFonts w:ascii="Times New Roman" w:hAnsi="Times New Roman" w:cs="Times New Roman"/>
          <w:sz w:val="24"/>
          <w:szCs w:val="24"/>
        </w:rPr>
      </w:pPr>
    </w:p>
    <w:sectPr w:rsidR="003A7CF5" w:rsidRPr="003A7CF5"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3C4252">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B002728"/>
    <w:multiLevelType w:val="multilevel"/>
    <w:tmpl w:val="AF0869E2"/>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2591FEF"/>
    <w:multiLevelType w:val="multilevel"/>
    <w:tmpl w:val="4600D8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4BA1DBE"/>
    <w:multiLevelType w:val="multilevel"/>
    <w:tmpl w:val="06E4DAA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9D46A65"/>
    <w:multiLevelType w:val="hybridMultilevel"/>
    <w:tmpl w:val="087CDCEE"/>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9">
    <w:nsid w:val="34C4110C"/>
    <w:multiLevelType w:val="hybridMultilevel"/>
    <w:tmpl w:val="481A9D12"/>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6D60B18"/>
    <w:multiLevelType w:val="multilevel"/>
    <w:tmpl w:val="C1B6F3EC"/>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2">
    <w:nsid w:val="5C68410B"/>
    <w:multiLevelType w:val="hybridMultilevel"/>
    <w:tmpl w:val="2CDC51EC"/>
    <w:lvl w:ilvl="0" w:tplc="F82AE64A">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3">
    <w:nsid w:val="5DBD7833"/>
    <w:multiLevelType w:val="hybridMultilevel"/>
    <w:tmpl w:val="AE92ABE0"/>
    <w:lvl w:ilvl="0" w:tplc="4B70549C">
      <w:start w:val="1"/>
      <w:numFmt w:val="decimal"/>
      <w:lvlText w:val="%1."/>
      <w:lvlJc w:val="left"/>
      <w:pPr>
        <w:ind w:left="1353" w:hanging="360"/>
      </w:pPr>
      <w:rPr>
        <w:rFonts w:ascii="Times New Roman" w:hAnsi="Times New Roman" w:cs="Times New Roman"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5E9D7E29"/>
    <w:multiLevelType w:val="hybridMultilevel"/>
    <w:tmpl w:val="61F0C8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622F68D4"/>
    <w:multiLevelType w:val="hybridMultilevel"/>
    <w:tmpl w:val="D8BA0DB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AA1CFE"/>
    <w:multiLevelType w:val="hybridMultilevel"/>
    <w:tmpl w:val="EFE276D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89D77D1"/>
    <w:multiLevelType w:val="hybridMultilevel"/>
    <w:tmpl w:val="CF1ABF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7A2C2BEE"/>
    <w:multiLevelType w:val="hybridMultilevel"/>
    <w:tmpl w:val="2B5CB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8"/>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3"/>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36DA8"/>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E7AC5"/>
    <w:rsid w:val="000F3BE4"/>
    <w:rsid w:val="00103E0B"/>
    <w:rsid w:val="0012008F"/>
    <w:rsid w:val="001258B3"/>
    <w:rsid w:val="0013388B"/>
    <w:rsid w:val="00140252"/>
    <w:rsid w:val="001430B7"/>
    <w:rsid w:val="00143B8B"/>
    <w:rsid w:val="001579AB"/>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176BE"/>
    <w:rsid w:val="00223703"/>
    <w:rsid w:val="00236155"/>
    <w:rsid w:val="002578F8"/>
    <w:rsid w:val="00265619"/>
    <w:rsid w:val="0027342B"/>
    <w:rsid w:val="00273A46"/>
    <w:rsid w:val="00281BA2"/>
    <w:rsid w:val="0029080F"/>
    <w:rsid w:val="002914C4"/>
    <w:rsid w:val="00293163"/>
    <w:rsid w:val="002952C4"/>
    <w:rsid w:val="002A2676"/>
    <w:rsid w:val="002A4512"/>
    <w:rsid w:val="002C6ED4"/>
    <w:rsid w:val="002D1C40"/>
    <w:rsid w:val="002D5E3D"/>
    <w:rsid w:val="002E1DE9"/>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57288"/>
    <w:rsid w:val="00361BFF"/>
    <w:rsid w:val="0036411C"/>
    <w:rsid w:val="00373796"/>
    <w:rsid w:val="00375493"/>
    <w:rsid w:val="00375D4A"/>
    <w:rsid w:val="00375DC9"/>
    <w:rsid w:val="00376D2E"/>
    <w:rsid w:val="00397A2F"/>
    <w:rsid w:val="003A1679"/>
    <w:rsid w:val="003A4C33"/>
    <w:rsid w:val="003A7CF5"/>
    <w:rsid w:val="003B26F3"/>
    <w:rsid w:val="003B6780"/>
    <w:rsid w:val="003C4252"/>
    <w:rsid w:val="003C75AB"/>
    <w:rsid w:val="003D1BF1"/>
    <w:rsid w:val="003D6E1E"/>
    <w:rsid w:val="003E2879"/>
    <w:rsid w:val="003E3694"/>
    <w:rsid w:val="003E7F89"/>
    <w:rsid w:val="003F00BB"/>
    <w:rsid w:val="003F11A6"/>
    <w:rsid w:val="003F195B"/>
    <w:rsid w:val="003F60DB"/>
    <w:rsid w:val="004002E1"/>
    <w:rsid w:val="004108B9"/>
    <w:rsid w:val="004300F3"/>
    <w:rsid w:val="00433B02"/>
    <w:rsid w:val="00433F33"/>
    <w:rsid w:val="00436F86"/>
    <w:rsid w:val="00441625"/>
    <w:rsid w:val="00442404"/>
    <w:rsid w:val="004438AE"/>
    <w:rsid w:val="004447BD"/>
    <w:rsid w:val="00446C4B"/>
    <w:rsid w:val="00453C5C"/>
    <w:rsid w:val="004604CE"/>
    <w:rsid w:val="00461800"/>
    <w:rsid w:val="00467CAF"/>
    <w:rsid w:val="004702B9"/>
    <w:rsid w:val="00483AFF"/>
    <w:rsid w:val="00492058"/>
    <w:rsid w:val="004A0627"/>
    <w:rsid w:val="004A7AA5"/>
    <w:rsid w:val="004B7804"/>
    <w:rsid w:val="004C1057"/>
    <w:rsid w:val="004C4FDE"/>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5F2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42AE"/>
    <w:rsid w:val="005C41FF"/>
    <w:rsid w:val="005D13EC"/>
    <w:rsid w:val="005E1400"/>
    <w:rsid w:val="005E4967"/>
    <w:rsid w:val="005F0EA2"/>
    <w:rsid w:val="00600B19"/>
    <w:rsid w:val="0060168E"/>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77564"/>
    <w:rsid w:val="00685C65"/>
    <w:rsid w:val="00686EBD"/>
    <w:rsid w:val="006901B2"/>
    <w:rsid w:val="006C7BFF"/>
    <w:rsid w:val="006D2D7B"/>
    <w:rsid w:val="006D3893"/>
    <w:rsid w:val="006D4F5B"/>
    <w:rsid w:val="006E0629"/>
    <w:rsid w:val="006E0DC5"/>
    <w:rsid w:val="006E1E8C"/>
    <w:rsid w:val="006E28C1"/>
    <w:rsid w:val="006E38DB"/>
    <w:rsid w:val="006E3E2A"/>
    <w:rsid w:val="006E72DA"/>
    <w:rsid w:val="006F5D1F"/>
    <w:rsid w:val="007019FE"/>
    <w:rsid w:val="00711065"/>
    <w:rsid w:val="007146B6"/>
    <w:rsid w:val="00717879"/>
    <w:rsid w:val="00723859"/>
    <w:rsid w:val="00731EB2"/>
    <w:rsid w:val="00735299"/>
    <w:rsid w:val="00745825"/>
    <w:rsid w:val="00746F69"/>
    <w:rsid w:val="00753C45"/>
    <w:rsid w:val="00754B4F"/>
    <w:rsid w:val="00756DD8"/>
    <w:rsid w:val="0075745A"/>
    <w:rsid w:val="00763131"/>
    <w:rsid w:val="0076681D"/>
    <w:rsid w:val="00776E00"/>
    <w:rsid w:val="00786623"/>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21C5"/>
    <w:rsid w:val="007F608A"/>
    <w:rsid w:val="00807372"/>
    <w:rsid w:val="00810040"/>
    <w:rsid w:val="00823612"/>
    <w:rsid w:val="008242CE"/>
    <w:rsid w:val="008316F8"/>
    <w:rsid w:val="00842FEA"/>
    <w:rsid w:val="00844001"/>
    <w:rsid w:val="00855E5F"/>
    <w:rsid w:val="00860460"/>
    <w:rsid w:val="00876320"/>
    <w:rsid w:val="008821FA"/>
    <w:rsid w:val="00886B74"/>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3042"/>
    <w:rsid w:val="00A640DB"/>
    <w:rsid w:val="00A734DB"/>
    <w:rsid w:val="00A7439C"/>
    <w:rsid w:val="00A837F0"/>
    <w:rsid w:val="00A9209C"/>
    <w:rsid w:val="00A9282F"/>
    <w:rsid w:val="00A96113"/>
    <w:rsid w:val="00AA5EE8"/>
    <w:rsid w:val="00AA71F6"/>
    <w:rsid w:val="00AC4192"/>
    <w:rsid w:val="00AC640F"/>
    <w:rsid w:val="00AD0DC2"/>
    <w:rsid w:val="00AD6F62"/>
    <w:rsid w:val="00AE09C8"/>
    <w:rsid w:val="00AF0748"/>
    <w:rsid w:val="00AF26E5"/>
    <w:rsid w:val="00B01A06"/>
    <w:rsid w:val="00B045C2"/>
    <w:rsid w:val="00B10F6D"/>
    <w:rsid w:val="00B11DD3"/>
    <w:rsid w:val="00B12B83"/>
    <w:rsid w:val="00B24E1F"/>
    <w:rsid w:val="00B4234A"/>
    <w:rsid w:val="00B425E0"/>
    <w:rsid w:val="00B47AD7"/>
    <w:rsid w:val="00B519E0"/>
    <w:rsid w:val="00B63A48"/>
    <w:rsid w:val="00B63E64"/>
    <w:rsid w:val="00B64254"/>
    <w:rsid w:val="00B64DD8"/>
    <w:rsid w:val="00B73404"/>
    <w:rsid w:val="00B73C2E"/>
    <w:rsid w:val="00B76BB3"/>
    <w:rsid w:val="00B7763C"/>
    <w:rsid w:val="00B841AC"/>
    <w:rsid w:val="00B91470"/>
    <w:rsid w:val="00BA259F"/>
    <w:rsid w:val="00BA7BF5"/>
    <w:rsid w:val="00BD0641"/>
    <w:rsid w:val="00BE0BC0"/>
    <w:rsid w:val="00BE0C7C"/>
    <w:rsid w:val="00BE3E9B"/>
    <w:rsid w:val="00BE6C2A"/>
    <w:rsid w:val="00BF2D84"/>
    <w:rsid w:val="00C002B8"/>
    <w:rsid w:val="00C0436B"/>
    <w:rsid w:val="00C06436"/>
    <w:rsid w:val="00C2203F"/>
    <w:rsid w:val="00C248F2"/>
    <w:rsid w:val="00C34049"/>
    <w:rsid w:val="00C4083D"/>
    <w:rsid w:val="00C51155"/>
    <w:rsid w:val="00C602B1"/>
    <w:rsid w:val="00C622EC"/>
    <w:rsid w:val="00C62ECB"/>
    <w:rsid w:val="00C632A0"/>
    <w:rsid w:val="00C64BD4"/>
    <w:rsid w:val="00C70155"/>
    <w:rsid w:val="00C70D31"/>
    <w:rsid w:val="00C7498C"/>
    <w:rsid w:val="00C812F3"/>
    <w:rsid w:val="00CA4355"/>
    <w:rsid w:val="00CB164B"/>
    <w:rsid w:val="00CB2F44"/>
    <w:rsid w:val="00CB7897"/>
    <w:rsid w:val="00CC7913"/>
    <w:rsid w:val="00CD1153"/>
    <w:rsid w:val="00CE01E5"/>
    <w:rsid w:val="00CE1A74"/>
    <w:rsid w:val="00CE5F0A"/>
    <w:rsid w:val="00CF6BEC"/>
    <w:rsid w:val="00D04524"/>
    <w:rsid w:val="00D1125D"/>
    <w:rsid w:val="00D11E5E"/>
    <w:rsid w:val="00D15040"/>
    <w:rsid w:val="00D30D45"/>
    <w:rsid w:val="00D3166A"/>
    <w:rsid w:val="00D34549"/>
    <w:rsid w:val="00D35CBF"/>
    <w:rsid w:val="00D409BD"/>
    <w:rsid w:val="00D43156"/>
    <w:rsid w:val="00D51B05"/>
    <w:rsid w:val="00D55DA1"/>
    <w:rsid w:val="00D57175"/>
    <w:rsid w:val="00D7061C"/>
    <w:rsid w:val="00D94027"/>
    <w:rsid w:val="00D97BD6"/>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1CB7"/>
    <w:rsid w:val="00E65EEC"/>
    <w:rsid w:val="00E65FF6"/>
    <w:rsid w:val="00E70655"/>
    <w:rsid w:val="00E7260A"/>
    <w:rsid w:val="00E82480"/>
    <w:rsid w:val="00E848AE"/>
    <w:rsid w:val="00E918A9"/>
    <w:rsid w:val="00E94D3C"/>
    <w:rsid w:val="00E96EA5"/>
    <w:rsid w:val="00EB407F"/>
    <w:rsid w:val="00EB4F16"/>
    <w:rsid w:val="00EC2856"/>
    <w:rsid w:val="00EC6D5F"/>
    <w:rsid w:val="00ED2B51"/>
    <w:rsid w:val="00EE48F2"/>
    <w:rsid w:val="00EE4B1F"/>
    <w:rsid w:val="00EF6049"/>
    <w:rsid w:val="00F11779"/>
    <w:rsid w:val="00F12658"/>
    <w:rsid w:val="00F13932"/>
    <w:rsid w:val="00F155CB"/>
    <w:rsid w:val="00F17423"/>
    <w:rsid w:val="00F25A8A"/>
    <w:rsid w:val="00F26DE0"/>
    <w:rsid w:val="00F273BF"/>
    <w:rsid w:val="00F4014E"/>
    <w:rsid w:val="00F477D2"/>
    <w:rsid w:val="00F513A9"/>
    <w:rsid w:val="00F60535"/>
    <w:rsid w:val="00F60E89"/>
    <w:rsid w:val="00F6219B"/>
    <w:rsid w:val="00F6625D"/>
    <w:rsid w:val="00F70D7E"/>
    <w:rsid w:val="00F755AD"/>
    <w:rsid w:val="00F76571"/>
    <w:rsid w:val="00F77D99"/>
    <w:rsid w:val="00F87E86"/>
    <w:rsid w:val="00F90105"/>
    <w:rsid w:val="00F9604E"/>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AA5EE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A9209C"/>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E7F89"/>
  </w:style>
  <w:style w:type="character" w:styleId="Refdecomentrio">
    <w:name w:val="annotation reference"/>
    <w:basedOn w:val="Fontepargpadro"/>
    <w:uiPriority w:val="99"/>
    <w:semiHidden/>
    <w:unhideWhenUsed/>
    <w:rsid w:val="003E7F89"/>
    <w:rPr>
      <w:sz w:val="16"/>
      <w:szCs w:val="16"/>
    </w:rPr>
  </w:style>
  <w:style w:type="paragraph" w:styleId="Textodecomentrio">
    <w:name w:val="annotation text"/>
    <w:basedOn w:val="Normal"/>
    <w:link w:val="TextodecomentrioChar"/>
    <w:uiPriority w:val="99"/>
    <w:semiHidden/>
    <w:unhideWhenUsed/>
    <w:rsid w:val="003E7F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E7F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AA5EE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A9209C"/>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E7F89"/>
  </w:style>
  <w:style w:type="character" w:styleId="Refdecomentrio">
    <w:name w:val="annotation reference"/>
    <w:basedOn w:val="Fontepargpadro"/>
    <w:uiPriority w:val="99"/>
    <w:semiHidden/>
    <w:unhideWhenUsed/>
    <w:rsid w:val="003E7F89"/>
    <w:rPr>
      <w:sz w:val="16"/>
      <w:szCs w:val="16"/>
    </w:rPr>
  </w:style>
  <w:style w:type="paragraph" w:styleId="Textodecomentrio">
    <w:name w:val="annotation text"/>
    <w:basedOn w:val="Normal"/>
    <w:link w:val="TextodecomentrioChar"/>
    <w:uiPriority w:val="99"/>
    <w:semiHidden/>
    <w:unhideWhenUsed/>
    <w:rsid w:val="003E7F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E7F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1797">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2015-01-09T12:23:00Z</dcterms:created>
  <dcterms:modified xsi:type="dcterms:W3CDTF">2015-01-09T17:21:00Z</dcterms:modified>
</cp:coreProperties>
</file>