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B" w:rsidRPr="00DD2A36" w:rsidRDefault="008E11B2" w:rsidP="00A6038F">
      <w:pPr>
        <w:autoSpaceDE w:val="0"/>
        <w:autoSpaceDN w:val="0"/>
        <w:adjustRightInd w:val="0"/>
        <w:spacing w:after="0" w:line="360" w:lineRule="auto"/>
        <w:jc w:val="right"/>
        <w:rPr>
          <w:rFonts w:ascii="Times New Roman" w:hAnsi="Times New Roman" w:cs="Times New Roman"/>
          <w:b/>
          <w:sz w:val="24"/>
          <w:szCs w:val="24"/>
        </w:rPr>
      </w:pPr>
      <w:r w:rsidRPr="00DD2A36">
        <w:rPr>
          <w:rFonts w:ascii="Times New Roman" w:hAnsi="Times New Roman" w:cs="Times New Roman"/>
          <w:b/>
          <w:noProof/>
          <w:sz w:val="24"/>
          <w:szCs w:val="24"/>
        </w:rPr>
        <w:drawing>
          <wp:inline distT="0" distB="0" distL="0" distR="0">
            <wp:extent cx="1495425" cy="450329"/>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499417" cy="451531"/>
                    </a:xfrm>
                    <a:prstGeom prst="rect">
                      <a:avLst/>
                    </a:prstGeom>
                    <a:noFill/>
                  </pic:spPr>
                </pic:pic>
              </a:graphicData>
            </a:graphic>
          </wp:inline>
        </w:drawing>
      </w:r>
      <w:r w:rsidR="00A6038F" w:rsidRPr="00DD2A36">
        <w:rPr>
          <w:rFonts w:ascii="Times New Roman" w:hAnsi="Times New Roman" w:cs="Times New Roman"/>
          <w:b/>
          <w:sz w:val="24"/>
          <w:szCs w:val="24"/>
        </w:rPr>
        <w:tab/>
      </w:r>
      <w:r w:rsidR="00A6038F" w:rsidRPr="00DD2A36">
        <w:rPr>
          <w:rFonts w:ascii="Times New Roman" w:hAnsi="Times New Roman" w:cs="Times New Roman"/>
          <w:b/>
          <w:sz w:val="24"/>
          <w:szCs w:val="24"/>
        </w:rPr>
        <w:tab/>
        <w:t>CADERNO DE INFORMAÇÕES TÉCNICAS</w:t>
      </w:r>
      <w:proofErr w:type="gramStart"/>
      <w:r w:rsidR="005F50B0">
        <w:rPr>
          <w:rFonts w:ascii="Times New Roman" w:hAnsi="Times New Roman" w:cs="Times New Roman"/>
          <w:b/>
          <w:sz w:val="24"/>
          <w:szCs w:val="24"/>
        </w:rPr>
        <w:t xml:space="preserve">  </w:t>
      </w:r>
    </w:p>
    <w:p w:rsidR="00375493" w:rsidRPr="00DD2A36" w:rsidRDefault="00375493" w:rsidP="00A6038F">
      <w:pPr>
        <w:autoSpaceDE w:val="0"/>
        <w:autoSpaceDN w:val="0"/>
        <w:adjustRightInd w:val="0"/>
        <w:spacing w:after="0" w:line="360" w:lineRule="auto"/>
        <w:jc w:val="right"/>
        <w:rPr>
          <w:rFonts w:ascii="Times New Roman" w:hAnsi="Times New Roman" w:cs="Times New Roman"/>
          <w:b/>
          <w:sz w:val="24"/>
          <w:szCs w:val="24"/>
        </w:rPr>
      </w:pPr>
      <w:proofErr w:type="gramEnd"/>
      <w:r w:rsidRPr="00DD2A36">
        <w:rPr>
          <w:rFonts w:ascii="Times New Roman" w:hAnsi="Times New Roman" w:cs="Times New Roman"/>
          <w:b/>
          <w:sz w:val="24"/>
          <w:szCs w:val="24"/>
        </w:rPr>
        <w:t xml:space="preserve">     </w:t>
      </w:r>
      <w:r w:rsidR="002B09C1">
        <w:rPr>
          <w:rFonts w:ascii="Times New Roman" w:hAnsi="Times New Roman" w:cs="Times New Roman"/>
          <w:b/>
          <w:sz w:val="24"/>
          <w:szCs w:val="24"/>
        </w:rPr>
        <w:t>FANTOCHE</w:t>
      </w:r>
      <w:r w:rsidR="007B0FCD">
        <w:rPr>
          <w:rFonts w:ascii="Times New Roman" w:hAnsi="Times New Roman" w:cs="Times New Roman"/>
          <w:b/>
          <w:sz w:val="24"/>
          <w:szCs w:val="24"/>
        </w:rPr>
        <w:t>S</w:t>
      </w:r>
      <w:r w:rsidR="000D7548">
        <w:rPr>
          <w:rFonts w:ascii="Times New Roman" w:hAnsi="Times New Roman" w:cs="Times New Roman"/>
          <w:b/>
          <w:sz w:val="23"/>
          <w:szCs w:val="23"/>
        </w:rPr>
        <w:t xml:space="preserve"> FAMÍLIA NEGRA</w:t>
      </w:r>
    </w:p>
    <w:p w:rsidR="00375493" w:rsidRPr="00DD2A36" w:rsidRDefault="00375493" w:rsidP="00D30D45">
      <w:pPr>
        <w:autoSpaceDE w:val="0"/>
        <w:autoSpaceDN w:val="0"/>
        <w:adjustRightInd w:val="0"/>
        <w:spacing w:after="0" w:line="360" w:lineRule="auto"/>
        <w:rPr>
          <w:rFonts w:ascii="Times New Roman" w:hAnsi="Times New Roman" w:cs="Times New Roman"/>
          <w:sz w:val="24"/>
          <w:szCs w:val="24"/>
        </w:rPr>
      </w:pPr>
      <w:bookmarkStart w:id="0" w:name="_Toc295808666"/>
    </w:p>
    <w:bookmarkEnd w:id="0"/>
    <w:p w:rsidR="00D30D45" w:rsidRPr="00DD2A36" w:rsidRDefault="007E068D" w:rsidP="007E068D">
      <w:pPr>
        <w:autoSpaceDE w:val="0"/>
        <w:autoSpaceDN w:val="0"/>
        <w:adjustRightInd w:val="0"/>
        <w:spacing w:after="0" w:line="360" w:lineRule="auto"/>
        <w:ind w:left="-142"/>
        <w:rPr>
          <w:rFonts w:ascii="Times New Roman" w:hAnsi="Times New Roman" w:cs="Times New Roman"/>
          <w:b/>
          <w:sz w:val="24"/>
          <w:szCs w:val="24"/>
        </w:rPr>
      </w:pPr>
      <w:r w:rsidRPr="00DD2A36">
        <w:rPr>
          <w:rFonts w:ascii="Times New Roman" w:hAnsi="Times New Roman" w:cs="Times New Roman"/>
          <w:b/>
          <w:sz w:val="24"/>
          <w:szCs w:val="24"/>
        </w:rPr>
        <w:t>Controle de Revisão</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3402"/>
        <w:gridCol w:w="2976"/>
      </w:tblGrid>
      <w:tr w:rsidR="00D30D45" w:rsidRPr="00DD2A36" w:rsidTr="00C4083D">
        <w:trPr>
          <w:trHeight w:val="276"/>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Data</w:t>
            </w:r>
          </w:p>
        </w:tc>
        <w:tc>
          <w:tcPr>
            <w:tcW w:w="141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Versão</w:t>
            </w:r>
          </w:p>
        </w:tc>
        <w:tc>
          <w:tcPr>
            <w:tcW w:w="340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Descrição</w:t>
            </w:r>
          </w:p>
        </w:tc>
        <w:tc>
          <w:tcPr>
            <w:tcW w:w="297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30D45" w:rsidRPr="00DD2A36" w:rsidRDefault="00D30D45" w:rsidP="00D30D45">
            <w:pPr>
              <w:spacing w:after="0" w:line="240" w:lineRule="auto"/>
              <w:jc w:val="center"/>
              <w:rPr>
                <w:rFonts w:ascii="Times New Roman" w:hAnsi="Times New Roman" w:cs="Times New Roman"/>
                <w:b/>
                <w:sz w:val="24"/>
                <w:szCs w:val="24"/>
              </w:rPr>
            </w:pPr>
            <w:r w:rsidRPr="00DD2A36">
              <w:rPr>
                <w:rFonts w:ascii="Times New Roman" w:hAnsi="Times New Roman" w:cs="Times New Roman"/>
                <w:b/>
                <w:sz w:val="24"/>
                <w:szCs w:val="24"/>
              </w:rPr>
              <w:t>Autor</w:t>
            </w: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r w:rsidR="00D30D45" w:rsidRPr="00DD2A36" w:rsidTr="00506690">
        <w:trPr>
          <w:trHeight w:val="276"/>
        </w:trPr>
        <w:tc>
          <w:tcPr>
            <w:tcW w:w="1843"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napToGrid w:val="0"/>
                <w:sz w:val="24"/>
                <w:szCs w:val="24"/>
              </w:rPr>
            </w:pPr>
          </w:p>
        </w:tc>
        <w:tc>
          <w:tcPr>
            <w:tcW w:w="2976" w:type="dxa"/>
            <w:tcBorders>
              <w:top w:val="single" w:sz="4" w:space="0" w:color="auto"/>
              <w:left w:val="single" w:sz="4" w:space="0" w:color="auto"/>
              <w:bottom w:val="single" w:sz="4" w:space="0" w:color="auto"/>
              <w:right w:val="single" w:sz="4" w:space="0" w:color="auto"/>
            </w:tcBorders>
          </w:tcPr>
          <w:p w:rsidR="00D30D45" w:rsidRPr="00DD2A36" w:rsidRDefault="00D30D45" w:rsidP="00D30D45">
            <w:pPr>
              <w:spacing w:after="0" w:line="240" w:lineRule="auto"/>
              <w:rPr>
                <w:rFonts w:ascii="Times New Roman" w:hAnsi="Times New Roman" w:cs="Times New Roman"/>
                <w:sz w:val="24"/>
                <w:szCs w:val="24"/>
              </w:rPr>
            </w:pPr>
          </w:p>
        </w:tc>
      </w:tr>
    </w:tbl>
    <w:p w:rsidR="00C0436B" w:rsidRPr="00DD2A36" w:rsidRDefault="00C0436B" w:rsidP="00C0436B">
      <w:pPr>
        <w:autoSpaceDE w:val="0"/>
        <w:autoSpaceDN w:val="0"/>
        <w:adjustRightInd w:val="0"/>
        <w:spacing w:after="0" w:line="360" w:lineRule="auto"/>
        <w:jc w:val="right"/>
        <w:rPr>
          <w:rFonts w:ascii="Times New Roman" w:hAnsi="Times New Roman" w:cs="Times New Roman"/>
          <w:b/>
          <w:sz w:val="24"/>
          <w:szCs w:val="24"/>
        </w:rPr>
      </w:pPr>
    </w:p>
    <w:p w:rsidR="00EC2856" w:rsidRDefault="00560865" w:rsidP="00BA7BF5">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SUMÁRIO</w:t>
      </w:r>
    </w:p>
    <w:p w:rsidR="00560865" w:rsidRPr="00DD2A36" w:rsidRDefault="00560865" w:rsidP="00BA7BF5">
      <w:pPr>
        <w:autoSpaceDE w:val="0"/>
        <w:autoSpaceDN w:val="0"/>
        <w:adjustRightInd w:val="0"/>
        <w:spacing w:after="0" w:line="480" w:lineRule="auto"/>
        <w:rPr>
          <w:rFonts w:ascii="Times New Roman" w:hAnsi="Times New Roman" w:cs="Times New Roman"/>
          <w:b/>
          <w:sz w:val="24"/>
          <w:szCs w:val="24"/>
        </w:rPr>
      </w:pPr>
    </w:p>
    <w:p w:rsidR="00D9287A" w:rsidRPr="00DD2A36" w:rsidRDefault="00D9287A" w:rsidP="00D9287A">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DEFINIÇÕES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D9287A" w:rsidRPr="00DD2A36" w:rsidRDefault="00D9287A" w:rsidP="00D9287A">
      <w:pPr>
        <w:pStyle w:val="PargrafodaLista"/>
        <w:numPr>
          <w:ilvl w:val="0"/>
          <w:numId w:val="1"/>
        </w:numPr>
        <w:autoSpaceDE w:val="0"/>
        <w:autoSpaceDN w:val="0"/>
        <w:adjustRightInd w:val="0"/>
        <w:spacing w:after="0" w:line="480" w:lineRule="auto"/>
        <w:ind w:left="567" w:hanging="567"/>
        <w:rPr>
          <w:rFonts w:ascii="Times New Roman" w:hAnsi="Times New Roman" w:cs="Times New Roman"/>
          <w:b/>
          <w:sz w:val="24"/>
          <w:szCs w:val="24"/>
        </w:rPr>
      </w:pPr>
      <w:r w:rsidRPr="00DD2A36">
        <w:rPr>
          <w:rFonts w:ascii="Times New Roman" w:hAnsi="Times New Roman" w:cs="Times New Roman"/>
          <w:b/>
          <w:sz w:val="24"/>
          <w:szCs w:val="24"/>
        </w:rPr>
        <w:t>NORMAS E DOCUMENTOS COMPLEMENTARES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D9287A" w:rsidRPr="00DD2A36" w:rsidRDefault="00D9287A" w:rsidP="00D9287A">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ESPECIFICAÇÕES TÉCNICAS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D9287A" w:rsidRPr="00DD2A36" w:rsidRDefault="00D9287A" w:rsidP="00D9287A">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CONDIÇÕES GERAIS</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02</w:t>
      </w:r>
    </w:p>
    <w:p w:rsidR="00D9287A" w:rsidRPr="00DD2A36" w:rsidRDefault="00D9287A" w:rsidP="00D9287A">
      <w:pPr>
        <w:pStyle w:val="PargrafodaLista"/>
        <w:numPr>
          <w:ilvl w:val="0"/>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DD2A36">
        <w:rPr>
          <w:rFonts w:ascii="Times New Roman" w:hAnsi="Times New Roman" w:cs="Times New Roman"/>
          <w:b/>
          <w:sz w:val="24"/>
          <w:szCs w:val="24"/>
        </w:rPr>
        <w:t>CONTROLE DE QUALIDADE</w:t>
      </w:r>
      <w:proofErr w:type="gramStart"/>
      <w:r w:rsidRPr="00DD2A36">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03</w:t>
      </w:r>
    </w:p>
    <w:p w:rsidR="00D9287A" w:rsidRPr="00BE4D0B" w:rsidRDefault="00B32336" w:rsidP="00BE4D0B">
      <w:pPr>
        <w:pStyle w:val="PargrafodaLista"/>
        <w:numPr>
          <w:ilvl w:val="2"/>
          <w:numId w:val="10"/>
        </w:numPr>
        <w:autoSpaceDE w:val="0"/>
        <w:autoSpaceDN w:val="0"/>
        <w:adjustRightInd w:val="0"/>
        <w:spacing w:after="0" w:line="480" w:lineRule="auto"/>
        <w:jc w:val="both"/>
        <w:rPr>
          <w:rFonts w:ascii="Times New Roman" w:hAnsi="Times New Roman"/>
          <w:b/>
          <w:sz w:val="24"/>
          <w:szCs w:val="24"/>
        </w:rPr>
      </w:pPr>
      <w:r w:rsidRPr="00BE4D0B">
        <w:rPr>
          <w:rFonts w:ascii="Times New Roman" w:eastAsia="Times New Roman" w:hAnsi="Times New Roman" w:cs="Times New Roman"/>
          <w:b/>
          <w:sz w:val="24"/>
          <w:szCs w:val="24"/>
        </w:rPr>
        <w:t xml:space="preserve">1ª etapa – </w:t>
      </w:r>
      <w:r w:rsidR="00D9287A" w:rsidRPr="00BE4D0B">
        <w:rPr>
          <w:rFonts w:ascii="Times New Roman" w:hAnsi="Times New Roman"/>
          <w:b/>
          <w:sz w:val="24"/>
          <w:szCs w:val="24"/>
        </w:rPr>
        <w:t>Avaliação Técnica e Pedagógica das A</w:t>
      </w:r>
      <w:r w:rsidR="000B115A" w:rsidRPr="00BE4D0B">
        <w:rPr>
          <w:rFonts w:ascii="Times New Roman" w:hAnsi="Times New Roman"/>
          <w:b/>
          <w:sz w:val="24"/>
          <w:szCs w:val="24"/>
        </w:rPr>
        <w:t>mostras</w:t>
      </w:r>
      <w:proofErr w:type="gramStart"/>
      <w:r w:rsidR="000B115A" w:rsidRPr="00BE4D0B">
        <w:rPr>
          <w:rFonts w:ascii="Times New Roman" w:hAnsi="Times New Roman"/>
          <w:b/>
          <w:sz w:val="24"/>
          <w:szCs w:val="24"/>
        </w:rPr>
        <w:t>........</w:t>
      </w:r>
      <w:r w:rsidR="00D9287A" w:rsidRPr="00BE4D0B">
        <w:rPr>
          <w:rFonts w:ascii="Times New Roman" w:hAnsi="Times New Roman"/>
          <w:b/>
          <w:sz w:val="24"/>
          <w:szCs w:val="24"/>
        </w:rPr>
        <w:t>............................</w:t>
      </w:r>
      <w:proofErr w:type="gramEnd"/>
      <w:r w:rsidR="00D9287A" w:rsidRPr="00BE4D0B">
        <w:rPr>
          <w:rFonts w:ascii="Times New Roman" w:hAnsi="Times New Roman"/>
          <w:b/>
          <w:sz w:val="24"/>
          <w:szCs w:val="24"/>
        </w:rPr>
        <w:t>03</w:t>
      </w:r>
    </w:p>
    <w:p w:rsidR="00D9287A" w:rsidRPr="00BE4D0B" w:rsidRDefault="000B115A" w:rsidP="00BE4D0B">
      <w:pPr>
        <w:pStyle w:val="PargrafodaLista"/>
        <w:numPr>
          <w:ilvl w:val="2"/>
          <w:numId w:val="10"/>
        </w:numPr>
        <w:spacing w:line="360" w:lineRule="auto"/>
        <w:jc w:val="both"/>
        <w:rPr>
          <w:rFonts w:ascii="Times New Roman" w:hAnsi="Times New Roman"/>
          <w:b/>
          <w:bCs/>
          <w:sz w:val="24"/>
          <w:szCs w:val="24"/>
        </w:rPr>
      </w:pPr>
      <w:r w:rsidRPr="00BE4D0B">
        <w:rPr>
          <w:rFonts w:ascii="Times New Roman" w:eastAsia="Times New Roman" w:hAnsi="Times New Roman" w:cs="Times New Roman"/>
          <w:b/>
          <w:sz w:val="24"/>
          <w:szCs w:val="24"/>
        </w:rPr>
        <w:t>2</w:t>
      </w:r>
      <w:r w:rsidR="00B32336" w:rsidRPr="00BE4D0B">
        <w:rPr>
          <w:rFonts w:ascii="Times New Roman" w:eastAsia="Times New Roman" w:hAnsi="Times New Roman" w:cs="Times New Roman"/>
          <w:b/>
          <w:sz w:val="24"/>
          <w:szCs w:val="24"/>
        </w:rPr>
        <w:t xml:space="preserve">ª etapa – </w:t>
      </w:r>
      <w:r w:rsidRPr="00BE4D0B">
        <w:rPr>
          <w:rFonts w:ascii="Times New Roman" w:hAnsi="Times New Roman" w:cs="Times New Roman"/>
          <w:b/>
          <w:sz w:val="24"/>
          <w:szCs w:val="24"/>
        </w:rPr>
        <w:t>Análise d</w:t>
      </w:r>
      <w:r w:rsidR="00D9287A" w:rsidRPr="00BE4D0B">
        <w:rPr>
          <w:rFonts w:ascii="Times New Roman" w:hAnsi="Times New Roman" w:cs="Times New Roman"/>
          <w:b/>
          <w:sz w:val="24"/>
          <w:szCs w:val="24"/>
        </w:rPr>
        <w:t>a</w:t>
      </w:r>
      <w:r w:rsidRPr="00BE4D0B">
        <w:rPr>
          <w:rFonts w:ascii="Times New Roman" w:hAnsi="Times New Roman" w:cs="Times New Roman"/>
          <w:b/>
          <w:sz w:val="24"/>
          <w:szCs w:val="24"/>
        </w:rPr>
        <w:t xml:space="preserve"> Produção</w:t>
      </w:r>
      <w:proofErr w:type="gramStart"/>
      <w:r w:rsidRPr="00BE4D0B">
        <w:rPr>
          <w:rFonts w:ascii="Times New Roman" w:hAnsi="Times New Roman" w:cs="Times New Roman"/>
          <w:b/>
          <w:sz w:val="24"/>
          <w:szCs w:val="24"/>
        </w:rPr>
        <w:t>.............................</w:t>
      </w:r>
      <w:r w:rsidR="00D9287A" w:rsidRPr="00BE4D0B">
        <w:rPr>
          <w:rFonts w:ascii="Times New Roman" w:hAnsi="Times New Roman" w:cs="Times New Roman"/>
          <w:b/>
          <w:sz w:val="24"/>
          <w:szCs w:val="24"/>
        </w:rPr>
        <w:t>..................................................</w:t>
      </w:r>
      <w:proofErr w:type="gramEnd"/>
      <w:r w:rsidR="00D9287A" w:rsidRPr="00BE4D0B">
        <w:rPr>
          <w:rFonts w:ascii="Times New Roman" w:hAnsi="Times New Roman" w:cs="Times New Roman"/>
          <w:b/>
          <w:sz w:val="24"/>
          <w:szCs w:val="24"/>
        </w:rPr>
        <w:t>0</w:t>
      </w:r>
      <w:r w:rsidR="001B382F" w:rsidRPr="00BE4D0B">
        <w:rPr>
          <w:rFonts w:ascii="Times New Roman" w:hAnsi="Times New Roman" w:cs="Times New Roman"/>
          <w:b/>
          <w:sz w:val="24"/>
          <w:szCs w:val="24"/>
        </w:rPr>
        <w:t>5</w:t>
      </w:r>
    </w:p>
    <w:p w:rsidR="00AD0DC2" w:rsidRPr="00BE4D0B" w:rsidRDefault="00AD0DC2" w:rsidP="00B4234A">
      <w:pPr>
        <w:autoSpaceDE w:val="0"/>
        <w:autoSpaceDN w:val="0"/>
        <w:adjustRightInd w:val="0"/>
        <w:spacing w:after="0" w:line="360" w:lineRule="auto"/>
        <w:rPr>
          <w:rFonts w:ascii="Times New Roman" w:hAnsi="Times New Roman" w:cs="Times New Roman"/>
          <w:b/>
          <w:sz w:val="24"/>
          <w:szCs w:val="24"/>
        </w:rPr>
      </w:pPr>
    </w:p>
    <w:p w:rsidR="00CE5F0A" w:rsidRPr="00DD2A36" w:rsidRDefault="00CE5F0A" w:rsidP="00B4234A">
      <w:pPr>
        <w:autoSpaceDE w:val="0"/>
        <w:autoSpaceDN w:val="0"/>
        <w:adjustRightInd w:val="0"/>
        <w:spacing w:after="0" w:line="360" w:lineRule="auto"/>
        <w:rPr>
          <w:rFonts w:ascii="Times New Roman" w:hAnsi="Times New Roman" w:cs="Times New Roman"/>
          <w:b/>
          <w:sz w:val="24"/>
          <w:szCs w:val="24"/>
        </w:rPr>
      </w:pPr>
    </w:p>
    <w:p w:rsidR="00CE5F0A" w:rsidRDefault="00CE5F0A" w:rsidP="00B4234A">
      <w:pPr>
        <w:autoSpaceDE w:val="0"/>
        <w:autoSpaceDN w:val="0"/>
        <w:adjustRightInd w:val="0"/>
        <w:spacing w:after="0" w:line="360" w:lineRule="auto"/>
        <w:rPr>
          <w:rFonts w:ascii="Times New Roman" w:hAnsi="Times New Roman" w:cs="Times New Roman"/>
          <w:b/>
          <w:sz w:val="24"/>
          <w:szCs w:val="24"/>
        </w:rPr>
      </w:pPr>
    </w:p>
    <w:p w:rsidR="003C75AB" w:rsidRPr="00DD2A36" w:rsidRDefault="003C75AB" w:rsidP="00B4234A">
      <w:pPr>
        <w:autoSpaceDE w:val="0"/>
        <w:autoSpaceDN w:val="0"/>
        <w:adjustRightInd w:val="0"/>
        <w:spacing w:after="0" w:line="360" w:lineRule="auto"/>
        <w:rPr>
          <w:rFonts w:ascii="Times New Roman" w:hAnsi="Times New Roman" w:cs="Times New Roman"/>
          <w:b/>
          <w:sz w:val="24"/>
          <w:szCs w:val="24"/>
        </w:rPr>
      </w:pPr>
    </w:p>
    <w:p w:rsidR="005F50B0" w:rsidRPr="00DD2A36" w:rsidRDefault="005F50B0" w:rsidP="005F50B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ANEXOS</w:t>
      </w:r>
    </w:p>
    <w:p w:rsidR="005F50B0" w:rsidRPr="00DD2A36" w:rsidRDefault="005F50B0" w:rsidP="005F50B0">
      <w:pPr>
        <w:spacing w:after="0" w:line="360" w:lineRule="auto"/>
        <w:rPr>
          <w:rFonts w:ascii="Times New Roman" w:hAnsi="Times New Roman" w:cs="Times New Roman"/>
          <w:b/>
          <w:sz w:val="24"/>
          <w:szCs w:val="24"/>
        </w:rPr>
      </w:pPr>
    </w:p>
    <w:p w:rsidR="005F50B0" w:rsidRPr="00DD2A36" w:rsidRDefault="005F50B0" w:rsidP="005F50B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ANEXO I – MANUAL DE USO E CONSERVAÇÃO </w:t>
      </w:r>
    </w:p>
    <w:p w:rsidR="00113254" w:rsidRDefault="00113254" w:rsidP="0011325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 – MODELO DE RELATÓRIO DE ENSAIO</w:t>
      </w:r>
    </w:p>
    <w:p w:rsidR="00113254" w:rsidRPr="00DD2A36" w:rsidRDefault="00113254" w:rsidP="00113254">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ANEXO III – LISTA DE VERIFICAÇÃO</w:t>
      </w:r>
    </w:p>
    <w:p w:rsidR="001D3962" w:rsidRDefault="001D3962" w:rsidP="00B4234A">
      <w:pPr>
        <w:autoSpaceDE w:val="0"/>
        <w:autoSpaceDN w:val="0"/>
        <w:adjustRightInd w:val="0"/>
        <w:spacing w:after="0" w:line="360" w:lineRule="auto"/>
        <w:rPr>
          <w:rFonts w:ascii="Times New Roman" w:hAnsi="Times New Roman" w:cs="Times New Roman"/>
          <w:b/>
          <w:sz w:val="24"/>
          <w:szCs w:val="24"/>
        </w:rPr>
      </w:pPr>
    </w:p>
    <w:p w:rsidR="00560865" w:rsidRDefault="00560865" w:rsidP="00B4234A">
      <w:pPr>
        <w:autoSpaceDE w:val="0"/>
        <w:autoSpaceDN w:val="0"/>
        <w:adjustRightInd w:val="0"/>
        <w:spacing w:after="0" w:line="360" w:lineRule="auto"/>
        <w:rPr>
          <w:rFonts w:ascii="Times New Roman" w:hAnsi="Times New Roman" w:cs="Times New Roman"/>
          <w:b/>
          <w:sz w:val="24"/>
          <w:szCs w:val="24"/>
        </w:rPr>
      </w:pPr>
    </w:p>
    <w:p w:rsidR="003C75AB" w:rsidRDefault="003C75AB" w:rsidP="00B4234A">
      <w:pPr>
        <w:autoSpaceDE w:val="0"/>
        <w:autoSpaceDN w:val="0"/>
        <w:adjustRightInd w:val="0"/>
        <w:spacing w:after="0" w:line="360" w:lineRule="auto"/>
        <w:rPr>
          <w:rFonts w:ascii="Times New Roman" w:hAnsi="Times New Roman" w:cs="Times New Roman"/>
          <w:b/>
          <w:sz w:val="24"/>
          <w:szCs w:val="24"/>
        </w:rPr>
      </w:pPr>
    </w:p>
    <w:p w:rsidR="00B63E64" w:rsidRPr="00A53839" w:rsidRDefault="00DD2A36" w:rsidP="00A53839">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DAS DEFINIÇÕES</w:t>
      </w:r>
    </w:p>
    <w:p w:rsidR="001A5446" w:rsidRPr="00A53839" w:rsidRDefault="000B115A" w:rsidP="001A5446">
      <w:pPr>
        <w:pStyle w:val="PargrafodaLista"/>
        <w:numPr>
          <w:ilvl w:val="1"/>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Família negra composta</w:t>
      </w:r>
      <w:r w:rsidR="00FD06CC" w:rsidRPr="0057198B">
        <w:rPr>
          <w:rFonts w:ascii="Times New Roman" w:hAnsi="Times New Roman" w:cs="Times New Roman"/>
          <w:sz w:val="24"/>
          <w:szCs w:val="24"/>
        </w:rPr>
        <w:t xml:space="preserve"> por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(seis) fantoches</w:t>
      </w:r>
      <w:r w:rsidR="00FD06CC" w:rsidRPr="0057198B">
        <w:rPr>
          <w:rFonts w:ascii="Times New Roman" w:hAnsi="Times New Roman" w:cs="Times New Roman"/>
          <w:sz w:val="24"/>
          <w:szCs w:val="24"/>
        </w:rPr>
        <w:t>.</w:t>
      </w:r>
      <w:r w:rsidR="00FD06CC">
        <w:rPr>
          <w:rFonts w:ascii="Times New Roman" w:hAnsi="Times New Roman" w:cs="Times New Roman"/>
          <w:sz w:val="24"/>
          <w:szCs w:val="24"/>
        </w:rPr>
        <w:t xml:space="preserve"> </w:t>
      </w:r>
    </w:p>
    <w:p w:rsidR="00DD2A36" w:rsidRPr="003B0940" w:rsidRDefault="00DD2A36" w:rsidP="00CA12CB">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NORMAS E DOCUMENTOS COMPLEMENTARES</w:t>
      </w:r>
    </w:p>
    <w:p w:rsidR="00FD5F1F" w:rsidRPr="001A53D2" w:rsidRDefault="00FD5F1F" w:rsidP="00FD5F1F">
      <w:pPr>
        <w:pStyle w:val="Pargrafoda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O brinquedo deverá estar de acordo com a </w:t>
      </w:r>
      <w:r>
        <w:rPr>
          <w:rFonts w:ascii="Times New Roman" w:hAnsi="Times New Roman" w:cs="Times New Roman"/>
          <w:sz w:val="24"/>
          <w:szCs w:val="24"/>
        </w:rPr>
        <w:t xml:space="preserve">ABNT NM 300-1: 2004 – Versão Corrigida: </w:t>
      </w:r>
      <w:proofErr w:type="gramStart"/>
      <w:r>
        <w:rPr>
          <w:rFonts w:ascii="Times New Roman" w:hAnsi="Times New Roman" w:cs="Times New Roman"/>
          <w:sz w:val="24"/>
          <w:szCs w:val="24"/>
        </w:rPr>
        <w:t>2011</w:t>
      </w:r>
      <w:r>
        <w:rPr>
          <w:rFonts w:ascii="Times New Roman" w:hAnsi="Times New Roman" w:cs="Times New Roman"/>
          <w:bCs/>
          <w:sz w:val="24"/>
          <w:szCs w:val="24"/>
        </w:rPr>
        <w:t>- Segurança de brinquedos - Parte 1</w:t>
      </w:r>
      <w:proofErr w:type="gramEnd"/>
      <w:r>
        <w:rPr>
          <w:rFonts w:ascii="Times New Roman" w:hAnsi="Times New Roman" w:cs="Times New Roman"/>
          <w:bCs/>
          <w:sz w:val="24"/>
          <w:szCs w:val="24"/>
        </w:rPr>
        <w:t xml:space="preserve">: Propriedades gerais, mecânicas e físicas; a </w:t>
      </w:r>
      <w:r>
        <w:rPr>
          <w:rFonts w:ascii="Times New Roman" w:hAnsi="Times New Roman" w:cs="Times New Roman"/>
          <w:sz w:val="24"/>
          <w:szCs w:val="24"/>
        </w:rPr>
        <w:t>ABNT NM 300-2: 2004 – Segurança de brinquedos – Parte 2: Inflamabilidade e a ABNT NM 300-3: 2004 - Versão Corrigida: 2011 – Segurança de brinquedos – Parte 3:</w:t>
      </w:r>
      <w:r>
        <w:rPr>
          <w:rFonts w:ascii="Times New Roman" w:hAnsi="Times New Roman" w:cs="Times New Roman"/>
          <w:bCs/>
          <w:sz w:val="24"/>
          <w:szCs w:val="24"/>
        </w:rPr>
        <w:t xml:space="preserve"> Migração de certos elementos.</w:t>
      </w:r>
    </w:p>
    <w:p w:rsidR="00DD2A36" w:rsidRPr="00A53839" w:rsidRDefault="00DD2A36" w:rsidP="00A53839">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sidRPr="00DD2A36">
        <w:rPr>
          <w:rFonts w:ascii="Times New Roman" w:hAnsi="Times New Roman" w:cs="Times New Roman"/>
          <w:b/>
          <w:sz w:val="24"/>
          <w:szCs w:val="24"/>
        </w:rPr>
        <w:t>DAS ESPECIFICAÇÕES TÉCNICAS</w:t>
      </w:r>
    </w:p>
    <w:p w:rsidR="000D7548" w:rsidRPr="00A53839" w:rsidRDefault="000D7548" w:rsidP="00A53839">
      <w:pPr>
        <w:pStyle w:val="Padro"/>
        <w:numPr>
          <w:ilvl w:val="0"/>
          <w:numId w:val="3"/>
        </w:numPr>
        <w:spacing w:after="0" w:line="360" w:lineRule="auto"/>
        <w:ind w:hanging="357"/>
        <w:jc w:val="both"/>
        <w:rPr>
          <w:rFonts w:ascii="Times New Roman" w:hAnsi="Times New Roman" w:cs="Times New Roman"/>
          <w:sz w:val="24"/>
          <w:szCs w:val="24"/>
        </w:rPr>
      </w:pPr>
      <w:r w:rsidRPr="00A53839">
        <w:rPr>
          <w:rFonts w:ascii="Times New Roman" w:hAnsi="Times New Roman" w:cs="Times New Roman"/>
          <w:sz w:val="24"/>
          <w:szCs w:val="24"/>
        </w:rPr>
        <w:t xml:space="preserve">Personagens: </w:t>
      </w:r>
      <w:r w:rsidR="00FD06CC" w:rsidRPr="00A53839">
        <w:rPr>
          <w:rFonts w:ascii="Times New Roman" w:hAnsi="Times New Roman" w:cs="Times New Roman"/>
          <w:sz w:val="24"/>
          <w:szCs w:val="24"/>
        </w:rPr>
        <w:t>Mamãe, Papai, Menina, Menino</w:t>
      </w:r>
      <w:r w:rsidR="005A0F0A" w:rsidRPr="00A53839">
        <w:rPr>
          <w:rFonts w:ascii="Times New Roman" w:hAnsi="Times New Roman" w:cs="Times New Roman"/>
          <w:sz w:val="24"/>
          <w:szCs w:val="24"/>
        </w:rPr>
        <w:t>, Vovó e Vovô;</w:t>
      </w:r>
      <w:r w:rsidRPr="00A53839">
        <w:rPr>
          <w:rFonts w:ascii="Times New Roman" w:hAnsi="Times New Roman" w:cs="Times New Roman"/>
          <w:sz w:val="24"/>
          <w:szCs w:val="24"/>
        </w:rPr>
        <w:t xml:space="preserve"> </w:t>
      </w:r>
    </w:p>
    <w:p w:rsidR="000D7548" w:rsidRPr="00A53839" w:rsidRDefault="000D7548" w:rsidP="00A53839">
      <w:pPr>
        <w:pStyle w:val="Padro"/>
        <w:numPr>
          <w:ilvl w:val="0"/>
          <w:numId w:val="3"/>
        </w:numPr>
        <w:spacing w:after="0" w:line="360" w:lineRule="auto"/>
        <w:ind w:hanging="357"/>
        <w:jc w:val="both"/>
        <w:rPr>
          <w:rFonts w:ascii="Times New Roman" w:hAnsi="Times New Roman" w:cs="Times New Roman"/>
          <w:sz w:val="24"/>
          <w:szCs w:val="24"/>
        </w:rPr>
      </w:pPr>
      <w:r w:rsidRPr="00A53839">
        <w:rPr>
          <w:rFonts w:ascii="Times New Roman" w:hAnsi="Times New Roman" w:cs="Times New Roman"/>
          <w:sz w:val="24"/>
          <w:szCs w:val="24"/>
        </w:rPr>
        <w:t>Matéria-prima:</w:t>
      </w:r>
    </w:p>
    <w:p w:rsidR="004D09F5" w:rsidRPr="00A53839" w:rsidRDefault="000D7548" w:rsidP="00A53839">
      <w:pPr>
        <w:pStyle w:val="Padro"/>
        <w:numPr>
          <w:ilvl w:val="0"/>
          <w:numId w:val="4"/>
        </w:numPr>
        <w:spacing w:after="0" w:line="360" w:lineRule="auto"/>
        <w:ind w:hanging="357"/>
        <w:jc w:val="both"/>
        <w:rPr>
          <w:sz w:val="24"/>
          <w:szCs w:val="24"/>
        </w:rPr>
      </w:pPr>
      <w:r w:rsidRPr="00A53839">
        <w:rPr>
          <w:rFonts w:ascii="Times New Roman" w:hAnsi="Times New Roman" w:cs="Times New Roman"/>
          <w:sz w:val="24"/>
          <w:szCs w:val="24"/>
        </w:rPr>
        <w:t>Corpo</w:t>
      </w:r>
      <w:r w:rsidRPr="00A53839">
        <w:rPr>
          <w:rFonts w:ascii="Times New Roman" w:hAnsi="Times New Roman" w:cs="Times New Roman"/>
          <w:color w:val="0070C0"/>
          <w:sz w:val="24"/>
          <w:szCs w:val="24"/>
        </w:rPr>
        <w:t xml:space="preserve">: </w:t>
      </w:r>
      <w:r w:rsidRPr="00A53839">
        <w:rPr>
          <w:rFonts w:ascii="Times New Roman" w:hAnsi="Times New Roman" w:cs="Times New Roman"/>
          <w:sz w:val="24"/>
          <w:szCs w:val="24"/>
        </w:rPr>
        <w:t xml:space="preserve">Tecido 100% acrílico e antialérgico; </w:t>
      </w:r>
    </w:p>
    <w:p w:rsidR="004D09F5" w:rsidRPr="00A53839" w:rsidRDefault="000D7548" w:rsidP="00A53839">
      <w:pPr>
        <w:pStyle w:val="Padro"/>
        <w:numPr>
          <w:ilvl w:val="0"/>
          <w:numId w:val="4"/>
        </w:numPr>
        <w:spacing w:after="0" w:line="360" w:lineRule="auto"/>
        <w:ind w:hanging="357"/>
        <w:jc w:val="both"/>
        <w:rPr>
          <w:sz w:val="24"/>
          <w:szCs w:val="24"/>
        </w:rPr>
      </w:pPr>
      <w:r w:rsidRPr="00A53839">
        <w:rPr>
          <w:rFonts w:ascii="Times New Roman" w:hAnsi="Times New Roman" w:cs="Times New Roman"/>
          <w:sz w:val="24"/>
          <w:szCs w:val="24"/>
        </w:rPr>
        <w:t>Cabelos: Lã 100% acrílica e antialérgica e cabelos costurados na cabeça;</w:t>
      </w:r>
    </w:p>
    <w:p w:rsidR="000D7548" w:rsidRPr="00A53839" w:rsidRDefault="000D7548" w:rsidP="00A53839">
      <w:pPr>
        <w:pStyle w:val="Padro"/>
        <w:numPr>
          <w:ilvl w:val="0"/>
          <w:numId w:val="4"/>
        </w:numPr>
        <w:spacing w:after="0" w:line="360" w:lineRule="auto"/>
        <w:ind w:hanging="357"/>
        <w:jc w:val="both"/>
        <w:rPr>
          <w:sz w:val="24"/>
          <w:szCs w:val="24"/>
        </w:rPr>
      </w:pPr>
      <w:r w:rsidRPr="00A53839">
        <w:rPr>
          <w:rFonts w:ascii="Times New Roman" w:hAnsi="Times New Roman" w:cs="Times New Roman"/>
          <w:sz w:val="24"/>
          <w:szCs w:val="24"/>
        </w:rPr>
        <w:t>Roupas: Tecido 100% algodão, antialérgico, costurado ao corpo, com estampas diferentes para cada personagem;</w:t>
      </w:r>
    </w:p>
    <w:p w:rsidR="000D7548" w:rsidRPr="00A53839" w:rsidRDefault="000D7548" w:rsidP="00A53839">
      <w:pPr>
        <w:pStyle w:val="Padro"/>
        <w:numPr>
          <w:ilvl w:val="0"/>
          <w:numId w:val="3"/>
        </w:numPr>
        <w:spacing w:after="0" w:line="360" w:lineRule="auto"/>
        <w:ind w:hanging="357"/>
        <w:jc w:val="both"/>
        <w:rPr>
          <w:sz w:val="24"/>
          <w:szCs w:val="24"/>
        </w:rPr>
      </w:pPr>
      <w:r w:rsidRPr="00A53839">
        <w:rPr>
          <w:rFonts w:ascii="Times New Roman" w:hAnsi="Times New Roman" w:cs="Times New Roman"/>
          <w:sz w:val="24"/>
          <w:szCs w:val="24"/>
        </w:rPr>
        <w:t xml:space="preserve">Olhos com sistema de segurança, dotados de trava interna na cabeça do fantoche; </w:t>
      </w:r>
    </w:p>
    <w:p w:rsidR="000D7548" w:rsidRPr="00A53839" w:rsidRDefault="000D7548" w:rsidP="00A53839">
      <w:pPr>
        <w:pStyle w:val="Padro"/>
        <w:numPr>
          <w:ilvl w:val="0"/>
          <w:numId w:val="3"/>
        </w:numPr>
        <w:spacing w:after="0" w:line="360" w:lineRule="auto"/>
        <w:ind w:hanging="357"/>
        <w:jc w:val="both"/>
        <w:rPr>
          <w:sz w:val="24"/>
          <w:szCs w:val="24"/>
        </w:rPr>
      </w:pPr>
      <w:r w:rsidRPr="00A53839">
        <w:rPr>
          <w:rFonts w:ascii="Times New Roman" w:hAnsi="Times New Roman" w:cs="Times New Roman"/>
          <w:sz w:val="24"/>
          <w:szCs w:val="24"/>
        </w:rPr>
        <w:t>Boca articulada, com a parte interna na cor vermelha;</w:t>
      </w:r>
    </w:p>
    <w:p w:rsidR="000D7548" w:rsidRPr="00A53839" w:rsidRDefault="000D7548" w:rsidP="00A53839">
      <w:pPr>
        <w:pStyle w:val="Padro"/>
        <w:numPr>
          <w:ilvl w:val="0"/>
          <w:numId w:val="3"/>
        </w:numPr>
        <w:spacing w:after="0" w:line="360" w:lineRule="auto"/>
        <w:ind w:hanging="357"/>
        <w:jc w:val="both"/>
        <w:rPr>
          <w:sz w:val="24"/>
          <w:szCs w:val="24"/>
        </w:rPr>
      </w:pPr>
      <w:r w:rsidRPr="00A53839">
        <w:rPr>
          <w:rFonts w:ascii="Times New Roman" w:hAnsi="Times New Roman" w:cs="Times New Roman"/>
          <w:sz w:val="24"/>
          <w:szCs w:val="24"/>
        </w:rPr>
        <w:t>Corpo: Na cor marrom, com vestimentas e acessórios car</w:t>
      </w:r>
      <w:r w:rsidR="005F50B0">
        <w:rPr>
          <w:rFonts w:ascii="Times New Roman" w:hAnsi="Times New Roman" w:cs="Times New Roman"/>
          <w:sz w:val="24"/>
          <w:szCs w:val="24"/>
        </w:rPr>
        <w:t xml:space="preserve">acterísticos de cada personagem </w:t>
      </w:r>
      <w:r w:rsidRPr="00A53839">
        <w:rPr>
          <w:rFonts w:ascii="Times New Roman" w:hAnsi="Times New Roman" w:cs="Times New Roman"/>
          <w:sz w:val="24"/>
          <w:szCs w:val="24"/>
        </w:rPr>
        <w:t>(membro da família);</w:t>
      </w:r>
    </w:p>
    <w:p w:rsidR="000D7548" w:rsidRPr="00A53839" w:rsidRDefault="000D7548" w:rsidP="00A53839">
      <w:pPr>
        <w:pStyle w:val="Padro"/>
        <w:numPr>
          <w:ilvl w:val="0"/>
          <w:numId w:val="3"/>
        </w:numPr>
        <w:spacing w:after="0" w:line="360" w:lineRule="auto"/>
        <w:ind w:hanging="357"/>
        <w:jc w:val="both"/>
        <w:rPr>
          <w:sz w:val="24"/>
          <w:szCs w:val="24"/>
        </w:rPr>
      </w:pPr>
      <w:r w:rsidRPr="00A53839">
        <w:rPr>
          <w:rFonts w:ascii="Times New Roman" w:hAnsi="Times New Roman" w:cs="Times New Roman"/>
          <w:sz w:val="24"/>
          <w:szCs w:val="24"/>
        </w:rPr>
        <w:t>Dimensão: 30 cm de altura.</w:t>
      </w:r>
    </w:p>
    <w:p w:rsidR="005975FA" w:rsidRPr="00A53839" w:rsidRDefault="00A53839" w:rsidP="00A53839">
      <w:pPr>
        <w:pStyle w:val="Padro"/>
        <w:numPr>
          <w:ilvl w:val="0"/>
          <w:numId w:val="3"/>
        </w:numPr>
        <w:spacing w:after="0" w:line="360" w:lineRule="auto"/>
        <w:ind w:hanging="357"/>
        <w:jc w:val="both"/>
        <w:rPr>
          <w:sz w:val="24"/>
          <w:szCs w:val="24"/>
        </w:rPr>
      </w:pPr>
      <w:r w:rsidRPr="00A53839">
        <w:rPr>
          <w:rFonts w:ascii="Times New Roman" w:hAnsi="Times New Roman" w:cs="Times New Roman"/>
          <w:sz w:val="24"/>
          <w:szCs w:val="24"/>
        </w:rPr>
        <w:t>Selo do INMETRO.</w:t>
      </w:r>
    </w:p>
    <w:p w:rsidR="003054BD" w:rsidRPr="00A53839" w:rsidRDefault="00315B59" w:rsidP="00A53839">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DAS </w:t>
      </w:r>
      <w:r w:rsidRPr="00DD2A36">
        <w:rPr>
          <w:rFonts w:ascii="Times New Roman" w:hAnsi="Times New Roman" w:cs="Times New Roman"/>
          <w:b/>
          <w:sz w:val="24"/>
          <w:szCs w:val="24"/>
        </w:rPr>
        <w:t xml:space="preserve">CONDIÇÕES </w:t>
      </w:r>
      <w:r>
        <w:rPr>
          <w:rFonts w:ascii="Times New Roman" w:hAnsi="Times New Roman" w:cs="Times New Roman"/>
          <w:b/>
          <w:sz w:val="24"/>
          <w:szCs w:val="24"/>
        </w:rPr>
        <w:t>GERAIS</w:t>
      </w:r>
    </w:p>
    <w:p w:rsidR="00A51464" w:rsidRPr="00BA0079" w:rsidRDefault="000B115A" w:rsidP="00A53839">
      <w:pPr>
        <w:pStyle w:val="PargrafodaLista"/>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Os</w:t>
      </w:r>
      <w:r w:rsidR="00C55E30">
        <w:rPr>
          <w:rFonts w:ascii="Times New Roman" w:hAnsi="Times New Roman" w:cs="Times New Roman"/>
          <w:sz w:val="24"/>
          <w:szCs w:val="24"/>
        </w:rPr>
        <w:t xml:space="preserve"> </w:t>
      </w:r>
      <w:r w:rsidR="001E3A79" w:rsidRPr="001E3A79">
        <w:rPr>
          <w:rFonts w:ascii="Times New Roman" w:hAnsi="Times New Roman" w:cs="Times New Roman"/>
          <w:sz w:val="24"/>
          <w:szCs w:val="24"/>
        </w:rPr>
        <w:t>f</w:t>
      </w:r>
      <w:r w:rsidR="005E0F6C">
        <w:rPr>
          <w:rFonts w:ascii="Times New Roman" w:hAnsi="Times New Roman" w:cs="Times New Roman"/>
          <w:sz w:val="24"/>
          <w:szCs w:val="24"/>
        </w:rPr>
        <w:t xml:space="preserve">antoches </w:t>
      </w:r>
      <w:r w:rsidR="003012F3">
        <w:rPr>
          <w:rFonts w:ascii="Times New Roman" w:hAnsi="Times New Roman" w:cs="Times New Roman"/>
          <w:sz w:val="24"/>
          <w:szCs w:val="24"/>
        </w:rPr>
        <w:t xml:space="preserve">família negra </w:t>
      </w:r>
      <w:r>
        <w:rPr>
          <w:rFonts w:ascii="Times New Roman" w:hAnsi="Times New Roman" w:cs="Times New Roman"/>
          <w:sz w:val="24"/>
          <w:szCs w:val="24"/>
        </w:rPr>
        <w:t>deverão</w:t>
      </w:r>
      <w:r w:rsidR="00C55E30">
        <w:rPr>
          <w:rFonts w:ascii="Times New Roman" w:hAnsi="Times New Roman" w:cs="Times New Roman"/>
          <w:sz w:val="24"/>
          <w:szCs w:val="24"/>
        </w:rPr>
        <w:t xml:space="preserve"> ser isento</w:t>
      </w:r>
      <w:r>
        <w:rPr>
          <w:rFonts w:ascii="Times New Roman" w:hAnsi="Times New Roman" w:cs="Times New Roman"/>
          <w:sz w:val="24"/>
          <w:szCs w:val="24"/>
        </w:rPr>
        <w:t>s</w:t>
      </w:r>
      <w:r w:rsidR="00BA0079">
        <w:rPr>
          <w:rFonts w:ascii="Times New Roman" w:hAnsi="Times New Roman" w:cs="Times New Roman"/>
          <w:sz w:val="24"/>
          <w:szCs w:val="24"/>
        </w:rPr>
        <w:t xml:space="preserve"> de </w:t>
      </w:r>
      <w:r w:rsidR="001E3A79" w:rsidRPr="001E3A79">
        <w:rPr>
          <w:rFonts w:ascii="Times New Roman" w:hAnsi="Times New Roman" w:cs="Times New Roman"/>
          <w:sz w:val="24"/>
          <w:szCs w:val="24"/>
        </w:rPr>
        <w:t xml:space="preserve">sobras </w:t>
      </w:r>
      <w:r w:rsidR="000D7548">
        <w:rPr>
          <w:rFonts w:ascii="Times New Roman" w:hAnsi="Times New Roman" w:cs="Times New Roman"/>
          <w:sz w:val="24"/>
          <w:szCs w:val="24"/>
        </w:rPr>
        <w:t>de costura e tecido</w:t>
      </w:r>
      <w:r w:rsidR="001E3A79" w:rsidRPr="001E3A79">
        <w:rPr>
          <w:rFonts w:ascii="Times New Roman" w:hAnsi="Times New Roman" w:cs="Times New Roman"/>
          <w:sz w:val="24"/>
          <w:szCs w:val="24"/>
        </w:rPr>
        <w:t>.</w:t>
      </w:r>
    </w:p>
    <w:p w:rsidR="00176B0D" w:rsidRPr="00BA0079" w:rsidRDefault="00BA0079" w:rsidP="00A5383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Pr>
          <w:rFonts w:ascii="Times New Roman" w:hAnsi="Times New Roman" w:cs="Times New Roman"/>
          <w:b/>
          <w:sz w:val="24"/>
          <w:szCs w:val="24"/>
        </w:rPr>
        <w:tab/>
      </w:r>
      <w:r w:rsidRPr="00BA0079">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t</w:t>
      </w:r>
      <w:r w:rsidR="000D7548">
        <w:rPr>
          <w:rFonts w:ascii="Times New Roman" w:hAnsi="Times New Roman" w:cs="Times New Roman"/>
          <w:sz w:val="24"/>
          <w:szCs w:val="24"/>
        </w:rPr>
        <w:t>olerância</w:t>
      </w:r>
      <w:r>
        <w:rPr>
          <w:rFonts w:ascii="Times New Roman" w:hAnsi="Times New Roman" w:cs="Times New Roman"/>
          <w:sz w:val="24"/>
          <w:szCs w:val="24"/>
        </w:rPr>
        <w:t xml:space="preserve"> dimensional dos fantoches família negra deverá ser de</w:t>
      </w:r>
      <w:r w:rsidR="000D7548">
        <w:rPr>
          <w:rFonts w:ascii="Times New Roman" w:hAnsi="Times New Roman" w:cs="Times New Roman"/>
          <w:sz w:val="24"/>
          <w:szCs w:val="24"/>
        </w:rPr>
        <w:t xml:space="preserve"> +- 3</w:t>
      </w:r>
      <w:r w:rsidR="00DC3E08" w:rsidRPr="00DC3E08">
        <w:rPr>
          <w:rFonts w:ascii="Times New Roman" w:hAnsi="Times New Roman" w:cs="Times New Roman"/>
          <w:sz w:val="24"/>
          <w:szCs w:val="24"/>
        </w:rPr>
        <w:t xml:space="preserve"> </w:t>
      </w:r>
      <w:r>
        <w:rPr>
          <w:rFonts w:ascii="Times New Roman" w:hAnsi="Times New Roman" w:cs="Times New Roman"/>
          <w:sz w:val="24"/>
          <w:szCs w:val="24"/>
        </w:rPr>
        <w:t xml:space="preserve">(três) </w:t>
      </w:r>
      <w:r w:rsidR="00DC3E08" w:rsidRPr="00DC3E08">
        <w:rPr>
          <w:rFonts w:ascii="Times New Roman" w:hAnsi="Times New Roman" w:cs="Times New Roman"/>
          <w:sz w:val="24"/>
          <w:szCs w:val="24"/>
        </w:rPr>
        <w:t>cm.</w:t>
      </w:r>
    </w:p>
    <w:p w:rsidR="00BA0079" w:rsidRPr="00A53839" w:rsidRDefault="00BA0079" w:rsidP="00A53839">
      <w:pPr>
        <w:pStyle w:val="PargrafodaLista"/>
        <w:spacing w:after="0" w:line="360" w:lineRule="auto"/>
        <w:ind w:left="0"/>
        <w:jc w:val="both"/>
        <w:rPr>
          <w:rFonts w:ascii="Times New Roman" w:hAnsi="Times New Roman" w:cs="Times New Roman"/>
          <w:sz w:val="24"/>
          <w:szCs w:val="24"/>
        </w:rPr>
      </w:pPr>
      <w:r w:rsidRPr="00BA0079">
        <w:rPr>
          <w:rFonts w:ascii="Times New Roman" w:hAnsi="Times New Roman" w:cs="Times New Roman"/>
          <w:b/>
          <w:sz w:val="24"/>
          <w:szCs w:val="24"/>
        </w:rPr>
        <w:t>4.3.</w:t>
      </w:r>
      <w:r w:rsidR="00C55E30">
        <w:rPr>
          <w:rFonts w:ascii="Times New Roman" w:hAnsi="Times New Roman" w:cs="Times New Roman"/>
          <w:sz w:val="24"/>
          <w:szCs w:val="24"/>
        </w:rPr>
        <w:t xml:space="preserve"> </w:t>
      </w:r>
      <w:r w:rsidR="00C55E30">
        <w:rPr>
          <w:rFonts w:ascii="Times New Roman" w:hAnsi="Times New Roman" w:cs="Times New Roman"/>
          <w:sz w:val="24"/>
          <w:szCs w:val="24"/>
        </w:rPr>
        <w:tab/>
      </w:r>
      <w:r w:rsidR="000B115A">
        <w:rPr>
          <w:rFonts w:ascii="Times New Roman" w:hAnsi="Times New Roman" w:cs="Times New Roman"/>
          <w:sz w:val="24"/>
          <w:szCs w:val="24"/>
        </w:rPr>
        <w:t>A</w:t>
      </w:r>
      <w:r>
        <w:rPr>
          <w:rFonts w:ascii="Times New Roman" w:hAnsi="Times New Roman" w:cs="Times New Roman"/>
          <w:sz w:val="24"/>
          <w:szCs w:val="24"/>
        </w:rPr>
        <w:t xml:space="preserve"> família negr</w:t>
      </w:r>
      <w:r w:rsidR="00C55E30">
        <w:rPr>
          <w:rFonts w:ascii="Times New Roman" w:hAnsi="Times New Roman" w:cs="Times New Roman"/>
          <w:sz w:val="24"/>
          <w:szCs w:val="24"/>
        </w:rPr>
        <w:t>a deverá</w:t>
      </w:r>
      <w:r w:rsidR="00113254">
        <w:rPr>
          <w:rFonts w:ascii="Times New Roman" w:hAnsi="Times New Roman" w:cs="Times New Roman"/>
          <w:sz w:val="24"/>
          <w:szCs w:val="24"/>
        </w:rPr>
        <w:t xml:space="preserve"> acompanhar o respectivo M</w:t>
      </w:r>
      <w:bookmarkStart w:id="1" w:name="_GoBack"/>
      <w:bookmarkEnd w:id="1"/>
      <w:r w:rsidR="00825947">
        <w:rPr>
          <w:rFonts w:ascii="Times New Roman" w:hAnsi="Times New Roman" w:cs="Times New Roman"/>
          <w:sz w:val="24"/>
          <w:szCs w:val="24"/>
        </w:rPr>
        <w:t>anual de uso e conservação em p</w:t>
      </w:r>
      <w:r w:rsidRPr="00D3780A">
        <w:rPr>
          <w:rFonts w:ascii="Times New Roman" w:hAnsi="Times New Roman" w:cs="Times New Roman"/>
          <w:sz w:val="24"/>
          <w:szCs w:val="24"/>
        </w:rPr>
        <w:t>ortuguês</w:t>
      </w:r>
      <w:r w:rsidR="00A53839">
        <w:rPr>
          <w:rFonts w:ascii="Times New Roman" w:hAnsi="Times New Roman" w:cs="Times New Roman"/>
          <w:sz w:val="24"/>
          <w:szCs w:val="24"/>
        </w:rPr>
        <w:t xml:space="preserve"> (conforme </w:t>
      </w:r>
      <w:r w:rsidR="005F50B0">
        <w:rPr>
          <w:rFonts w:ascii="Times New Roman" w:hAnsi="Times New Roman" w:cs="Times New Roman"/>
          <w:sz w:val="24"/>
          <w:szCs w:val="24"/>
        </w:rPr>
        <w:t>Anexo I</w:t>
      </w:r>
      <w:r w:rsidR="00A53839">
        <w:rPr>
          <w:rFonts w:ascii="Times New Roman" w:hAnsi="Times New Roman" w:cs="Times New Roman"/>
          <w:sz w:val="24"/>
          <w:szCs w:val="24"/>
        </w:rPr>
        <w:t>)</w:t>
      </w:r>
      <w:r w:rsidRPr="00A53839">
        <w:rPr>
          <w:rFonts w:ascii="Times New Roman" w:hAnsi="Times New Roman" w:cs="Times New Roman"/>
          <w:sz w:val="24"/>
          <w:szCs w:val="24"/>
        </w:rPr>
        <w:t>.</w:t>
      </w:r>
    </w:p>
    <w:p w:rsidR="00BA0079" w:rsidRPr="00D3780A" w:rsidRDefault="00BA0079" w:rsidP="00A53839">
      <w:pPr>
        <w:pStyle w:val="textoprincipalcombulletsTextosficha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4.4. </w:t>
      </w:r>
      <w:r>
        <w:rPr>
          <w:rFonts w:ascii="Times New Roman" w:hAnsi="Times New Roman" w:cs="Times New Roman"/>
          <w:b/>
          <w:sz w:val="24"/>
          <w:szCs w:val="24"/>
        </w:rPr>
        <w:tab/>
      </w:r>
      <w:r>
        <w:rPr>
          <w:rFonts w:ascii="Times New Roman" w:hAnsi="Times New Roman" w:cs="Times New Roman"/>
          <w:b/>
          <w:sz w:val="24"/>
          <w:szCs w:val="24"/>
        </w:rPr>
        <w:tab/>
      </w:r>
      <w:r w:rsidRPr="00E50E38">
        <w:rPr>
          <w:rFonts w:ascii="Times New Roman" w:hAnsi="Times New Roman" w:cs="Times New Roman"/>
          <w:sz w:val="24"/>
          <w:szCs w:val="24"/>
        </w:rPr>
        <w:t xml:space="preserve">Os fantoches </w:t>
      </w:r>
      <w:r>
        <w:rPr>
          <w:rFonts w:ascii="Times New Roman" w:hAnsi="Times New Roman" w:cs="Times New Roman"/>
          <w:sz w:val="24"/>
          <w:szCs w:val="24"/>
        </w:rPr>
        <w:t xml:space="preserve">família negra </w:t>
      </w:r>
      <w:r w:rsidRPr="00E50E38">
        <w:rPr>
          <w:rFonts w:ascii="Times New Roman" w:hAnsi="Times New Roman" w:cs="Times New Roman"/>
          <w:sz w:val="24"/>
          <w:szCs w:val="24"/>
        </w:rPr>
        <w:t xml:space="preserve">deverão ser </w:t>
      </w:r>
      <w:r w:rsidRPr="00E114CD">
        <w:rPr>
          <w:rFonts w:ascii="Times New Roman" w:hAnsi="Times New Roman" w:cs="Times New Roman"/>
          <w:sz w:val="24"/>
          <w:szCs w:val="24"/>
        </w:rPr>
        <w:t>embalados</w:t>
      </w:r>
      <w:r w:rsidRPr="00E114CD">
        <w:rPr>
          <w:rFonts w:ascii="Times New Roman" w:hAnsi="Times New Roman" w:cs="Times New Roman"/>
          <w:b/>
          <w:sz w:val="24"/>
          <w:szCs w:val="24"/>
        </w:rPr>
        <w:t xml:space="preserve"> </w:t>
      </w:r>
      <w:r w:rsidRPr="00E114CD">
        <w:rPr>
          <w:rFonts w:ascii="Times New Roman" w:hAnsi="Times New Roman" w:cs="Times New Roman"/>
          <w:sz w:val="24"/>
          <w:szCs w:val="24"/>
        </w:rPr>
        <w:t xml:space="preserve">em saco de </w:t>
      </w:r>
      <w:r w:rsidRPr="00834B41">
        <w:rPr>
          <w:rFonts w:ascii="Times New Roman" w:hAnsi="Times New Roman" w:cs="Times New Roman"/>
          <w:sz w:val="24"/>
          <w:szCs w:val="24"/>
        </w:rPr>
        <w:t>TNT e</w:t>
      </w:r>
      <w:r w:rsidRPr="00834B41">
        <w:rPr>
          <w:rFonts w:ascii="Times New Roman" w:hAnsi="Times New Roman" w:cs="Times New Roman"/>
          <w:b/>
          <w:sz w:val="24"/>
          <w:szCs w:val="24"/>
        </w:rPr>
        <w:t xml:space="preserve"> </w:t>
      </w:r>
      <w:r w:rsidR="00A53839" w:rsidRPr="00834B41">
        <w:rPr>
          <w:rFonts w:ascii="Times New Roman" w:hAnsi="Times New Roman" w:cs="Times New Roman"/>
          <w:sz w:val="24"/>
          <w:szCs w:val="24"/>
        </w:rPr>
        <w:t>acondicionados em caixa</w:t>
      </w:r>
      <w:r w:rsidRPr="00834B41">
        <w:rPr>
          <w:rFonts w:ascii="Times New Roman" w:hAnsi="Times New Roman" w:cs="Times New Roman"/>
          <w:sz w:val="24"/>
          <w:szCs w:val="24"/>
        </w:rPr>
        <w:t xml:space="preserve"> de</w:t>
      </w:r>
      <w:r w:rsidR="00A53839" w:rsidRPr="00834B41">
        <w:rPr>
          <w:rFonts w:ascii="Times New Roman" w:hAnsi="Times New Roman" w:cs="Times New Roman"/>
          <w:sz w:val="24"/>
          <w:szCs w:val="24"/>
        </w:rPr>
        <w:t xml:space="preserve"> papelão para</w:t>
      </w:r>
      <w:r w:rsidRPr="00834B41">
        <w:rPr>
          <w:rFonts w:ascii="Times New Roman" w:hAnsi="Times New Roman" w:cs="Times New Roman"/>
          <w:sz w:val="24"/>
          <w:szCs w:val="24"/>
        </w:rPr>
        <w:t xml:space="preserve"> transporte</w:t>
      </w:r>
      <w:r w:rsidR="00A53839" w:rsidRPr="00834B41">
        <w:rPr>
          <w:rFonts w:ascii="Times New Roman" w:hAnsi="Times New Roman" w:cs="Times New Roman"/>
          <w:sz w:val="24"/>
          <w:szCs w:val="24"/>
        </w:rPr>
        <w:t>,</w:t>
      </w:r>
      <w:r w:rsidRPr="00834B41">
        <w:rPr>
          <w:rFonts w:ascii="Times New Roman" w:hAnsi="Times New Roman" w:cs="Times New Roman"/>
          <w:sz w:val="24"/>
          <w:szCs w:val="24"/>
        </w:rPr>
        <w:t xml:space="preserve"> com o quantitativo suficiente que não danifique </w:t>
      </w:r>
      <w:r w:rsidR="00A53839" w:rsidRPr="00834B41">
        <w:rPr>
          <w:rFonts w:ascii="Times New Roman" w:hAnsi="Times New Roman" w:cs="Times New Roman"/>
          <w:sz w:val="24"/>
          <w:szCs w:val="24"/>
        </w:rPr>
        <w:t>o</w:t>
      </w:r>
      <w:r w:rsidRPr="00834B41">
        <w:rPr>
          <w:rFonts w:ascii="Times New Roman" w:hAnsi="Times New Roman" w:cs="Times New Roman"/>
          <w:sz w:val="24"/>
          <w:szCs w:val="24"/>
        </w:rPr>
        <w:t>s</w:t>
      </w:r>
      <w:r w:rsidR="00A53839" w:rsidRPr="00834B41">
        <w:rPr>
          <w:rFonts w:ascii="Times New Roman" w:hAnsi="Times New Roman" w:cs="Times New Roman"/>
          <w:sz w:val="24"/>
          <w:szCs w:val="24"/>
        </w:rPr>
        <w:t xml:space="preserve"> brinquedos</w:t>
      </w:r>
      <w:r w:rsidRPr="00834B41">
        <w:rPr>
          <w:rFonts w:ascii="Times New Roman" w:hAnsi="Times New Roman" w:cs="Times New Roman"/>
          <w:sz w:val="24"/>
          <w:szCs w:val="24"/>
        </w:rPr>
        <w:t>.</w:t>
      </w:r>
    </w:p>
    <w:p w:rsidR="00BA0079" w:rsidRPr="00FE3414" w:rsidRDefault="00BA0079" w:rsidP="00A53839">
      <w:pPr>
        <w:pStyle w:val="textoprincipalcombulletsTextosfichas"/>
        <w:spacing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4.4</w:t>
      </w:r>
      <w:r w:rsidRPr="00096F86">
        <w:rPr>
          <w:rFonts w:ascii="Times New Roman" w:hAnsi="Times New Roman" w:cs="Times New Roman"/>
          <w:b/>
          <w:color w:val="auto"/>
          <w:sz w:val="24"/>
          <w:szCs w:val="24"/>
        </w:rPr>
        <w:t>.</w:t>
      </w:r>
      <w:r>
        <w:rPr>
          <w:rFonts w:ascii="Times New Roman" w:hAnsi="Times New Roman" w:cs="Times New Roman"/>
          <w:b/>
          <w:color w:val="auto"/>
          <w:sz w:val="24"/>
          <w:szCs w:val="24"/>
        </w:rPr>
        <w:t>1.</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FE3414">
        <w:rPr>
          <w:rFonts w:ascii="Times New Roman" w:hAnsi="Times New Roman" w:cs="Times New Roman"/>
          <w:color w:val="auto"/>
          <w:sz w:val="24"/>
          <w:szCs w:val="24"/>
        </w:rPr>
        <w:t>Deve constar do lado externo da embalagem, rótulos de fácil leitura com identificação do fabricante e do fornecedor, código do produto e orientações sobre manuseio, transporte e estocagem.</w:t>
      </w:r>
    </w:p>
    <w:p w:rsidR="00BA0079" w:rsidRDefault="00BA0079" w:rsidP="00A53839">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4.4.2</w:t>
      </w:r>
      <w:r w:rsidRPr="000A3092">
        <w:rPr>
          <w:rFonts w:ascii="Times New Roman" w:hAnsi="Times New Roman" w:cs="Times New Roman"/>
          <w:b/>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t xml:space="preserve">As caixas de transporte </w:t>
      </w:r>
      <w:r w:rsidRPr="00FE3414">
        <w:rPr>
          <w:rFonts w:ascii="Times New Roman" w:hAnsi="Times New Roman" w:cs="Times New Roman"/>
          <w:bCs/>
          <w:sz w:val="24"/>
          <w:szCs w:val="24"/>
        </w:rPr>
        <w:t xml:space="preserve">deverão conter a identificação FNDE/MEC e constar a proibição de comercialização, em local visível e de forma indelével. </w:t>
      </w:r>
    </w:p>
    <w:p w:rsidR="00BA0079" w:rsidRPr="00D3780A" w:rsidRDefault="00BA0079" w:rsidP="00A53839">
      <w:pPr>
        <w:spacing w:after="0" w:line="360" w:lineRule="auto"/>
        <w:jc w:val="both"/>
        <w:rPr>
          <w:rFonts w:ascii="Times New Roman" w:hAnsi="Times New Roman" w:cs="Times New Roman"/>
          <w:bCs/>
          <w:sz w:val="24"/>
          <w:szCs w:val="24"/>
        </w:rPr>
      </w:pPr>
      <w:r w:rsidRPr="00D3780A">
        <w:rPr>
          <w:rFonts w:ascii="Times New Roman" w:hAnsi="Times New Roman" w:cs="Times New Roman"/>
          <w:b/>
          <w:bCs/>
          <w:sz w:val="24"/>
          <w:szCs w:val="24"/>
        </w:rPr>
        <w:lastRenderedPageBreak/>
        <w:t>4.5.</w:t>
      </w:r>
      <w:r w:rsidRPr="00FE3414">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A CONTRATADA</w:t>
      </w:r>
      <w:r w:rsidRPr="00FE3414">
        <w:rPr>
          <w:rFonts w:ascii="Times New Roman" w:hAnsi="Times New Roman" w:cs="Times New Roman"/>
          <w:sz w:val="24"/>
          <w:szCs w:val="24"/>
        </w:rPr>
        <w:t xml:space="preserve"> deverá oferecer garantia de </w:t>
      </w:r>
      <w:proofErr w:type="gramStart"/>
      <w:r w:rsidRPr="00FE3414">
        <w:rPr>
          <w:rFonts w:ascii="Times New Roman" w:hAnsi="Times New Roman" w:cs="Times New Roman"/>
          <w:sz w:val="24"/>
          <w:szCs w:val="24"/>
        </w:rPr>
        <w:t>3</w:t>
      </w:r>
      <w:proofErr w:type="gramEnd"/>
      <w:r w:rsidR="00834B41">
        <w:rPr>
          <w:rFonts w:ascii="Times New Roman" w:hAnsi="Times New Roman" w:cs="Times New Roman"/>
          <w:sz w:val="24"/>
          <w:szCs w:val="24"/>
        </w:rPr>
        <w:t xml:space="preserve"> (três)</w:t>
      </w:r>
      <w:r w:rsidRPr="00FE3414">
        <w:rPr>
          <w:rFonts w:ascii="Times New Roman" w:hAnsi="Times New Roman" w:cs="Times New Roman"/>
          <w:sz w:val="24"/>
          <w:szCs w:val="24"/>
        </w:rPr>
        <w:t xml:space="preserve"> </w:t>
      </w:r>
      <w:r w:rsidRPr="000A3092">
        <w:rPr>
          <w:rFonts w:ascii="Times New Roman" w:hAnsi="Times New Roman" w:cs="Times New Roman"/>
          <w:sz w:val="24"/>
          <w:szCs w:val="24"/>
        </w:rPr>
        <w:t>meses</w:t>
      </w:r>
      <w:r>
        <w:rPr>
          <w:rFonts w:ascii="Times New Roman" w:hAnsi="Times New Roman" w:cs="Times New Roman"/>
          <w:sz w:val="24"/>
          <w:szCs w:val="24"/>
        </w:rPr>
        <w:t xml:space="preserve"> contra defeitos de fabricação,</w:t>
      </w:r>
      <w:r w:rsidRPr="00FE3414">
        <w:rPr>
          <w:rFonts w:ascii="Times New Roman" w:hAnsi="Times New Roman" w:cs="Times New Roman"/>
          <w:sz w:val="24"/>
          <w:szCs w:val="24"/>
        </w:rPr>
        <w:t xml:space="preserve"> </w:t>
      </w:r>
      <w:r>
        <w:rPr>
          <w:rFonts w:ascii="Times New Roman" w:hAnsi="Times New Roman" w:cs="Times New Roman"/>
          <w:sz w:val="24"/>
          <w:szCs w:val="24"/>
        </w:rPr>
        <w:t>a partir da data da entrega dos fantoches de família negra</w:t>
      </w:r>
      <w:r w:rsidRPr="00FE3414">
        <w:rPr>
          <w:rFonts w:ascii="Times New Roman" w:hAnsi="Times New Roman" w:cs="Times New Roman"/>
          <w:sz w:val="24"/>
          <w:szCs w:val="24"/>
        </w:rPr>
        <w:t xml:space="preserve">. </w:t>
      </w:r>
    </w:p>
    <w:p w:rsidR="00042F67" w:rsidRPr="00D9287A" w:rsidRDefault="00BA0079" w:rsidP="00D9287A">
      <w:pPr>
        <w:spacing w:after="0" w:line="360" w:lineRule="auto"/>
        <w:rPr>
          <w:rFonts w:ascii="Times New Roman" w:hAnsi="Times New Roman" w:cs="Times New Roman"/>
          <w:sz w:val="24"/>
          <w:szCs w:val="24"/>
        </w:rPr>
      </w:pPr>
      <w:r>
        <w:rPr>
          <w:rFonts w:ascii="Times New Roman" w:hAnsi="Times New Roman" w:cs="Times New Roman"/>
          <w:b/>
          <w:sz w:val="24"/>
          <w:szCs w:val="24"/>
        </w:rPr>
        <w:t>4.5.1</w:t>
      </w:r>
      <w:r w:rsidRPr="004B6CE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FE3414">
        <w:rPr>
          <w:rFonts w:ascii="Times New Roman" w:hAnsi="Times New Roman" w:cs="Times New Roman"/>
          <w:sz w:val="24"/>
          <w:szCs w:val="24"/>
        </w:rPr>
        <w:t>A data para cálculo da garantia deve ter como bas</w:t>
      </w:r>
      <w:r>
        <w:rPr>
          <w:rFonts w:ascii="Times New Roman" w:hAnsi="Times New Roman" w:cs="Times New Roman"/>
          <w:sz w:val="24"/>
          <w:szCs w:val="24"/>
        </w:rPr>
        <w:t>e a data da efetiva entrega dos fantoches de família negra</w:t>
      </w:r>
      <w:r w:rsidRPr="00FE3414">
        <w:rPr>
          <w:rFonts w:ascii="Times New Roman" w:hAnsi="Times New Roman" w:cs="Times New Roman"/>
          <w:sz w:val="24"/>
          <w:szCs w:val="24"/>
        </w:rPr>
        <w:t xml:space="preserve"> </w:t>
      </w:r>
      <w:r w:rsidR="00416929">
        <w:rPr>
          <w:rFonts w:ascii="Times New Roman" w:hAnsi="Times New Roman" w:cs="Times New Roman"/>
          <w:sz w:val="24"/>
          <w:szCs w:val="24"/>
        </w:rPr>
        <w:t xml:space="preserve">à </w:t>
      </w:r>
      <w:r>
        <w:rPr>
          <w:rFonts w:ascii="Times New Roman" w:hAnsi="Times New Roman" w:cs="Times New Roman"/>
          <w:sz w:val="24"/>
          <w:szCs w:val="24"/>
        </w:rPr>
        <w:t>CONTRATANTE</w:t>
      </w:r>
      <w:r w:rsidRPr="00FE3414">
        <w:rPr>
          <w:rFonts w:ascii="Times New Roman" w:hAnsi="Times New Roman" w:cs="Times New Roman"/>
          <w:sz w:val="24"/>
          <w:szCs w:val="24"/>
        </w:rPr>
        <w:t>.</w:t>
      </w:r>
    </w:p>
    <w:p w:rsidR="00042F67" w:rsidRPr="00A53839" w:rsidRDefault="003C75AB" w:rsidP="00A53839">
      <w:pPr>
        <w:pStyle w:val="PargrafodaLista"/>
        <w:numPr>
          <w:ilvl w:val="0"/>
          <w:numId w:val="2"/>
        </w:numPr>
        <w:shd w:val="clear" w:color="auto" w:fill="C6D9F1" w:themeFill="text2" w:themeFillTint="33"/>
        <w:tabs>
          <w:tab w:val="left" w:pos="142"/>
        </w:tabs>
        <w:spacing w:before="120" w:after="120" w:line="240" w:lineRule="auto"/>
        <w:ind w:left="0" w:right="-1" w:firstLine="0"/>
        <w:contextualSpacing w:val="0"/>
        <w:jc w:val="both"/>
        <w:rPr>
          <w:b/>
          <w:sz w:val="24"/>
          <w:szCs w:val="24"/>
        </w:rPr>
      </w:pPr>
      <w:r>
        <w:rPr>
          <w:rFonts w:ascii="Times New Roman" w:hAnsi="Times New Roman" w:cs="Times New Roman"/>
          <w:b/>
          <w:sz w:val="24"/>
          <w:szCs w:val="24"/>
        </w:rPr>
        <w:t xml:space="preserve">DO CONTROLE DE QUALIDADE </w:t>
      </w:r>
    </w:p>
    <w:p w:rsidR="007D1410" w:rsidRPr="00D81A2D" w:rsidRDefault="007D1410" w:rsidP="007D1410">
      <w:pPr>
        <w:pStyle w:val="PargrafodaLista"/>
        <w:numPr>
          <w:ilvl w:val="1"/>
          <w:numId w:val="5"/>
        </w:numPr>
        <w:spacing w:line="360" w:lineRule="auto"/>
        <w:ind w:left="0" w:firstLine="0"/>
        <w:jc w:val="both"/>
        <w:rPr>
          <w:rFonts w:ascii="Times New Roman" w:hAnsi="Times New Roman"/>
          <w:bCs/>
          <w:sz w:val="24"/>
          <w:szCs w:val="24"/>
        </w:rPr>
      </w:pPr>
      <w:r w:rsidRPr="00D81A2D">
        <w:rPr>
          <w:rFonts w:ascii="Times New Roman" w:hAnsi="Times New Roman" w:cs="Times New Roman"/>
          <w:sz w:val="24"/>
          <w:szCs w:val="24"/>
        </w:rPr>
        <w:t>O produto deste Caderno de Informações Técnicas - CIT - está sujeito ao Controle de Qua</w:t>
      </w:r>
      <w:r>
        <w:rPr>
          <w:rFonts w:ascii="Times New Roman" w:hAnsi="Times New Roman" w:cs="Times New Roman"/>
          <w:sz w:val="24"/>
          <w:szCs w:val="24"/>
        </w:rPr>
        <w:t xml:space="preserve">lidade realizado pelo FNDE, pela CONTRATANTE </w:t>
      </w:r>
      <w:r w:rsidRPr="00D81A2D">
        <w:rPr>
          <w:rFonts w:ascii="Times New Roman" w:hAnsi="Times New Roman" w:cs="Times New Roman"/>
          <w:sz w:val="24"/>
          <w:szCs w:val="24"/>
        </w:rPr>
        <w:t>ou por instituição indicada por eles.</w:t>
      </w:r>
    </w:p>
    <w:p w:rsidR="007D1410" w:rsidRDefault="007D1410" w:rsidP="007D1410">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Cs/>
          <w:sz w:val="24"/>
          <w:szCs w:val="24"/>
        </w:rPr>
        <w:t>Controle de Qualidade ocorrerá:</w:t>
      </w:r>
    </w:p>
    <w:p w:rsidR="007D1410" w:rsidRDefault="007D1410" w:rsidP="007D1410">
      <w:pPr>
        <w:pStyle w:val="PargrafodaLista"/>
        <w:numPr>
          <w:ilvl w:val="2"/>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Após a fase de aceitação da proposta das empresas e antes da homologação da licitação;</w:t>
      </w:r>
    </w:p>
    <w:p w:rsidR="007D1410" w:rsidRDefault="007D1410" w:rsidP="007D1410">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5.2.2. </w:t>
      </w:r>
      <w:r>
        <w:rPr>
          <w:rFonts w:ascii="Times New Roman" w:hAnsi="Times New Roman" w:cs="Times New Roman"/>
          <w:bCs/>
          <w:sz w:val="24"/>
          <w:szCs w:val="24"/>
        </w:rPr>
        <w:t xml:space="preserve"> A qualquer tempo, durante a vigência da Ata de Registro de Preços e/ou dos Contratos firmados, por meio de eventuais visitas técnicas sob a responsabilidade da equipe avaliadora do FNDE.</w:t>
      </w:r>
    </w:p>
    <w:p w:rsidR="007D1410" w:rsidRDefault="007D1410" w:rsidP="007D1410">
      <w:pPr>
        <w:pStyle w:val="PargrafodaLista"/>
        <w:numPr>
          <w:ilvl w:val="1"/>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bCs/>
          <w:sz w:val="24"/>
          <w:szCs w:val="24"/>
        </w:rPr>
        <w:t>O Controle de Qualidade deverá considerar as especificações técnicas estabelecidas neste CIT.</w:t>
      </w:r>
    </w:p>
    <w:p w:rsidR="007D1410" w:rsidRDefault="007D1410" w:rsidP="007D1410">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Durante as etapas de Controle de Qualidade, as amostras poderão ser desmontadas ou destruídas.</w:t>
      </w:r>
    </w:p>
    <w:p w:rsidR="007D1410" w:rsidRDefault="007D1410" w:rsidP="007D1410">
      <w:pPr>
        <w:pStyle w:val="PargrafodaLista"/>
        <w:numPr>
          <w:ilvl w:val="1"/>
          <w:numId w:val="5"/>
        </w:num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Em qualquer </w:t>
      </w:r>
      <w:r>
        <w:rPr>
          <w:rFonts w:ascii="Times New Roman" w:hAnsi="Times New Roman" w:cs="Times New Roman"/>
          <w:bCs/>
          <w:sz w:val="24"/>
          <w:szCs w:val="24"/>
        </w:rPr>
        <w:t>etapa do Controle de Qualidade, a critério do FNDE, poderão ser realizadas visitas técnicas as instalações do FORNECEDOR ou fábrica.</w:t>
      </w:r>
    </w:p>
    <w:p w:rsidR="007D1410" w:rsidRDefault="007D1410" w:rsidP="007D1410">
      <w:pPr>
        <w:pStyle w:val="PargrafodaLista"/>
        <w:numPr>
          <w:ilvl w:val="1"/>
          <w:numId w:val="5"/>
        </w:numPr>
        <w:spacing w:before="120"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Controle de Qualidade compreenderá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etapas, a saber:</w:t>
      </w:r>
    </w:p>
    <w:p w:rsidR="007D1410" w:rsidRDefault="007D1410" w:rsidP="007D1410">
      <w:pPr>
        <w:pStyle w:val="PargrafodaLista"/>
        <w:numPr>
          <w:ilvl w:val="2"/>
          <w:numId w:val="5"/>
        </w:num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1ª etapa – Avaliação Técnica e Pedagógica das Amostras</w:t>
      </w:r>
    </w:p>
    <w:p w:rsidR="007D1410" w:rsidRPr="004B1A0C" w:rsidRDefault="007D1410" w:rsidP="007D1410">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192ADA">
        <w:rPr>
          <w:rFonts w:ascii="Times New Roman" w:hAnsi="Times New Roman" w:cs="Times New Roman"/>
          <w:sz w:val="24"/>
          <w:szCs w:val="24"/>
        </w:rPr>
        <w:t xml:space="preserve">  </w:t>
      </w:r>
      <w:r w:rsidRPr="004B1A0C">
        <w:rPr>
          <w:rFonts w:ascii="Times New Roman" w:hAnsi="Times New Roman" w:cs="Times New Roman"/>
          <w:sz w:val="24"/>
          <w:szCs w:val="24"/>
        </w:rPr>
        <w:t xml:space="preserve">A empresa classificada em primeiro lugar no grupo/item deverá, num prazo máximo de </w:t>
      </w:r>
      <w:r w:rsidRPr="004B1A0C">
        <w:rPr>
          <w:rFonts w:ascii="Times New Roman" w:hAnsi="Times New Roman" w:cs="Times New Roman"/>
          <w:b/>
          <w:sz w:val="24"/>
          <w:szCs w:val="24"/>
        </w:rPr>
        <w:t>10 (dez) dias</w:t>
      </w:r>
      <w:r w:rsidRPr="004B1A0C">
        <w:rPr>
          <w:rFonts w:ascii="Times New Roman" w:hAnsi="Times New Roman" w:cs="Times New Roman"/>
          <w:sz w:val="24"/>
          <w:szCs w:val="24"/>
        </w:rPr>
        <w:t>, contados da solicitação do pregoeiro, entregar, ao FNDE, duas amostras do produto, com o manual de uso e conservação (conforme Anexo I) e Certificado de conformidade,</w:t>
      </w:r>
      <w:r w:rsidRPr="004B1A0C">
        <w:rPr>
          <w:rFonts w:ascii="Times New Roman" w:hAnsi="Times New Roman" w:cs="Times New Roman"/>
          <w:bCs/>
          <w:sz w:val="24"/>
          <w:szCs w:val="24"/>
        </w:rPr>
        <w:t xml:space="preserve"> de acordo com a </w:t>
      </w:r>
      <w:r w:rsidRPr="004B1A0C">
        <w:rPr>
          <w:rFonts w:ascii="Times New Roman" w:hAnsi="Times New Roman" w:cs="Times New Roman"/>
          <w:sz w:val="24"/>
          <w:szCs w:val="24"/>
        </w:rPr>
        <w:t>ABNT NM 300: 2004 – Versão Corrigida: 2011 (se houver).</w:t>
      </w:r>
    </w:p>
    <w:p w:rsidR="007D1410" w:rsidRPr="00BF020E" w:rsidRDefault="007D1410" w:rsidP="007D1410">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licitante </w:t>
      </w:r>
      <w:r w:rsidRPr="00725153">
        <w:rPr>
          <w:rFonts w:ascii="Times New Roman" w:hAnsi="Times New Roman" w:cs="Times New Roman"/>
          <w:sz w:val="24"/>
          <w:szCs w:val="24"/>
        </w:rPr>
        <w:t xml:space="preserve">classificado em primeiro lugar e convocado para o mesmo produto em diferentes regiões de abrangência poderá entregar somente a quantidade de amostras estabelecidas para uma região, </w:t>
      </w:r>
      <w:r w:rsidRPr="00725153">
        <w:rPr>
          <w:rFonts w:ascii="Times New Roman" w:hAnsi="Times New Roman" w:cs="Times New Roman"/>
          <w:b/>
          <w:sz w:val="24"/>
          <w:szCs w:val="24"/>
        </w:rPr>
        <w:t>desde que formalize o pedido</w:t>
      </w:r>
      <w:r>
        <w:rPr>
          <w:rFonts w:ascii="Times New Roman" w:hAnsi="Times New Roman" w:cs="Times New Roman"/>
          <w:b/>
          <w:sz w:val="24"/>
          <w:szCs w:val="24"/>
        </w:rPr>
        <w:t>.</w:t>
      </w:r>
    </w:p>
    <w:p w:rsidR="007D1410" w:rsidRDefault="007D1410" w:rsidP="007D1410">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192ADA">
        <w:rPr>
          <w:rFonts w:ascii="Times New Roman" w:hAnsi="Times New Roman" w:cs="Times New Roman"/>
          <w:sz w:val="24"/>
          <w:szCs w:val="24"/>
        </w:rPr>
        <w:t xml:space="preserve"> </w:t>
      </w:r>
      <w:r>
        <w:rPr>
          <w:rFonts w:ascii="Times New Roman" w:hAnsi="Times New Roman" w:cs="Times New Roman"/>
          <w:sz w:val="24"/>
          <w:szCs w:val="24"/>
        </w:rPr>
        <w:t>As amostras deverão ser entregues, no protocolo do FNDE, com etiqueta de identificação contendo as seguintes informações:</w:t>
      </w:r>
    </w:p>
    <w:p w:rsidR="007D1410" w:rsidRDefault="007D1410" w:rsidP="007D1410">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“AMOSTRA”;</w:t>
      </w:r>
    </w:p>
    <w:p w:rsidR="007D1410" w:rsidRDefault="007D1410" w:rsidP="007D1410">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Aos cuidados da CGCOM;</w:t>
      </w:r>
    </w:p>
    <w:p w:rsidR="007D1410" w:rsidRDefault="007D1410" w:rsidP="007D1410">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Pregão Eletrônico;</w:t>
      </w:r>
    </w:p>
    <w:p w:rsidR="007D1410" w:rsidRDefault="007D1410" w:rsidP="007D1410">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t>Número do item;</w:t>
      </w:r>
    </w:p>
    <w:p w:rsidR="007D1410" w:rsidRDefault="007D1410" w:rsidP="007D1410">
      <w:pPr>
        <w:numPr>
          <w:ilvl w:val="0"/>
          <w:numId w:val="6"/>
        </w:numPr>
        <w:tabs>
          <w:tab w:val="num" w:pos="709"/>
        </w:tabs>
        <w:spacing w:after="0" w:line="360" w:lineRule="auto"/>
        <w:ind w:hanging="76"/>
        <w:jc w:val="both"/>
        <w:rPr>
          <w:rFonts w:ascii="Times New Roman" w:hAnsi="Times New Roman" w:cs="Times New Roman"/>
          <w:sz w:val="24"/>
          <w:szCs w:val="24"/>
        </w:rPr>
      </w:pPr>
      <w:r>
        <w:rPr>
          <w:rFonts w:ascii="Times New Roman" w:hAnsi="Times New Roman" w:cs="Times New Roman"/>
          <w:sz w:val="24"/>
          <w:szCs w:val="24"/>
        </w:rPr>
        <w:lastRenderedPageBreak/>
        <w:t>Identificação do FORNECEDOR.</w:t>
      </w:r>
    </w:p>
    <w:p w:rsidR="007D1410" w:rsidRDefault="007D1410" w:rsidP="007D1410">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7052EA">
        <w:rPr>
          <w:rFonts w:ascii="Times New Roman" w:hAnsi="Times New Roman" w:cs="Times New Roman"/>
          <w:sz w:val="24"/>
          <w:szCs w:val="24"/>
        </w:rPr>
        <w:t>A avaliação será realizada por Comissão Técnica FNDE/MEC designada para este fim, que verificará a conformidade das características das amostras c</w:t>
      </w:r>
      <w:r>
        <w:rPr>
          <w:rFonts w:ascii="Times New Roman" w:hAnsi="Times New Roman" w:cs="Times New Roman"/>
          <w:sz w:val="24"/>
          <w:szCs w:val="24"/>
        </w:rPr>
        <w:t>om as especificações deste CIT (conforme Anexo III).</w:t>
      </w:r>
    </w:p>
    <w:p w:rsidR="007D1410" w:rsidRDefault="007D1410" w:rsidP="007D1410">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sidRPr="004B1A0C">
        <w:rPr>
          <w:rFonts w:ascii="Times New Roman" w:hAnsi="Times New Roman" w:cs="Times New Roman"/>
          <w:bCs/>
          <w:sz w:val="24"/>
          <w:szCs w:val="24"/>
        </w:rPr>
        <w:t xml:space="preserve"> O certificado de conformidade </w:t>
      </w:r>
      <w:r>
        <w:rPr>
          <w:rFonts w:ascii="Times New Roman" w:hAnsi="Times New Roman" w:cs="Times New Roman"/>
          <w:bCs/>
          <w:sz w:val="24"/>
          <w:szCs w:val="24"/>
        </w:rPr>
        <w:t xml:space="preserve">será verificado após a Avaliação Pedagógica das amostras, conforme item 5.6.1.13. </w:t>
      </w:r>
      <w:proofErr w:type="gramStart"/>
      <w:r>
        <w:rPr>
          <w:rFonts w:ascii="Times New Roman" w:hAnsi="Times New Roman" w:cs="Times New Roman"/>
          <w:bCs/>
          <w:sz w:val="24"/>
          <w:szCs w:val="24"/>
        </w:rPr>
        <w:t>deste</w:t>
      </w:r>
      <w:proofErr w:type="gramEnd"/>
      <w:r>
        <w:rPr>
          <w:rFonts w:ascii="Times New Roman" w:hAnsi="Times New Roman" w:cs="Times New Roman"/>
          <w:bCs/>
          <w:sz w:val="24"/>
          <w:szCs w:val="24"/>
        </w:rPr>
        <w:t xml:space="preserve"> CIT</w:t>
      </w:r>
      <w:r w:rsidRPr="007052EA">
        <w:rPr>
          <w:rFonts w:ascii="Times New Roman" w:hAnsi="Times New Roman" w:cs="Times New Roman"/>
          <w:sz w:val="24"/>
          <w:szCs w:val="24"/>
        </w:rPr>
        <w:t>.</w:t>
      </w:r>
    </w:p>
    <w:p w:rsidR="007D1410" w:rsidRDefault="007D1410" w:rsidP="007D1410">
      <w:pPr>
        <w:pStyle w:val="PargrafodaLista"/>
        <w:numPr>
          <w:ilvl w:val="3"/>
          <w:numId w:val="5"/>
        </w:numPr>
        <w:tabs>
          <w:tab w:val="left" w:pos="709"/>
        </w:tabs>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 </w:t>
      </w:r>
      <w:r w:rsidRPr="00F55735">
        <w:rPr>
          <w:rFonts w:ascii="Times New Roman" w:hAnsi="Times New Roman" w:cs="Times New Roman"/>
          <w:sz w:val="24"/>
          <w:szCs w:val="24"/>
        </w:rPr>
        <w:t>FNDE poderá solicitar informações diretamente ao OCP, contratad</w:t>
      </w:r>
      <w:r>
        <w:rPr>
          <w:rFonts w:ascii="Times New Roman" w:hAnsi="Times New Roman" w:cs="Times New Roman"/>
          <w:sz w:val="24"/>
          <w:szCs w:val="24"/>
        </w:rPr>
        <w:t xml:space="preserve">o pelo licitante, conforme </w:t>
      </w:r>
      <w:r w:rsidRPr="00BB76E1">
        <w:rPr>
          <w:rFonts w:ascii="Times New Roman" w:hAnsi="Times New Roman" w:cs="Times New Roman"/>
          <w:sz w:val="24"/>
          <w:szCs w:val="24"/>
        </w:rPr>
        <w:t xml:space="preserve">item </w:t>
      </w:r>
      <w:r w:rsidRPr="00454F1F">
        <w:rPr>
          <w:rFonts w:ascii="Times New Roman" w:hAnsi="Times New Roman" w:cs="Times New Roman"/>
          <w:b/>
          <w:sz w:val="24"/>
          <w:szCs w:val="24"/>
        </w:rPr>
        <w:t>6.1.4.2</w:t>
      </w:r>
      <w:r w:rsidRPr="00BB76E1">
        <w:rPr>
          <w:rFonts w:ascii="Times New Roman" w:hAnsi="Times New Roman" w:cs="Times New Roman"/>
          <w:sz w:val="24"/>
          <w:szCs w:val="24"/>
        </w:rPr>
        <w:t xml:space="preserve"> do</w:t>
      </w:r>
      <w:r w:rsidRPr="00F55735">
        <w:rPr>
          <w:rFonts w:ascii="Times New Roman" w:hAnsi="Times New Roman" w:cs="Times New Roman"/>
          <w:sz w:val="24"/>
          <w:szCs w:val="24"/>
        </w:rPr>
        <w:t xml:space="preserve"> Edital</w:t>
      </w:r>
      <w:r>
        <w:rPr>
          <w:rFonts w:ascii="Times New Roman" w:hAnsi="Times New Roman" w:cs="Times New Roman"/>
          <w:sz w:val="24"/>
          <w:szCs w:val="24"/>
        </w:rPr>
        <w:t>.</w:t>
      </w:r>
    </w:p>
    <w:p w:rsidR="007D1410" w:rsidRDefault="007D1410" w:rsidP="007D1410">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Caso sejam apresentadas amostras de objeto diferente do especificado neste CIT, </w:t>
      </w:r>
      <w:r>
        <w:rPr>
          <w:rFonts w:ascii="Times New Roman" w:hAnsi="Times New Roman" w:cs="Times New Roman"/>
          <w:bCs/>
          <w:sz w:val="24"/>
          <w:szCs w:val="24"/>
        </w:rPr>
        <w:t>o licitante será desclassificado do certame e o FNDE poderá convocar o próximo classificado na fase de lances.</w:t>
      </w:r>
    </w:p>
    <w:p w:rsidR="007D1410" w:rsidRDefault="007D1410" w:rsidP="007D1410">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A Comissão Técnica poderá recomendar ajustes nas amostras apresentadas, de forma a melhor atender a proposta pedagógica do MEC e assegurar a padronização e qualidade dos produtos. </w:t>
      </w:r>
    </w:p>
    <w:p w:rsidR="007D1410" w:rsidRDefault="007D1410" w:rsidP="007D1410">
      <w:pPr>
        <w:pStyle w:val="PargrafodaLista"/>
        <w:numPr>
          <w:ilvl w:val="3"/>
          <w:numId w:val="5"/>
        </w:numPr>
        <w:tabs>
          <w:tab w:val="left" w:pos="709"/>
        </w:tabs>
        <w:spacing w:line="360" w:lineRule="auto"/>
        <w:ind w:left="0" w:hanging="11"/>
        <w:jc w:val="both"/>
        <w:rPr>
          <w:rFonts w:ascii="Times New Roman" w:hAnsi="Times New Roman" w:cs="Times New Roman"/>
          <w:sz w:val="24"/>
          <w:szCs w:val="24"/>
        </w:rPr>
      </w:pPr>
      <w:r w:rsidRPr="00ED18D6">
        <w:rPr>
          <w:rFonts w:ascii="Times New Roman" w:hAnsi="Times New Roman" w:cs="Times New Roman"/>
          <w:sz w:val="24"/>
          <w:szCs w:val="24"/>
        </w:rPr>
        <w:t xml:space="preserve"> Nesse caso, o licitante terá um prazo adicional de </w:t>
      </w:r>
      <w:r w:rsidRPr="00ED18D6">
        <w:rPr>
          <w:rFonts w:ascii="Times New Roman" w:hAnsi="Times New Roman" w:cs="Times New Roman"/>
          <w:b/>
          <w:sz w:val="24"/>
          <w:szCs w:val="24"/>
        </w:rPr>
        <w:t xml:space="preserve">até </w:t>
      </w:r>
      <w:proofErr w:type="gramStart"/>
      <w:r w:rsidRPr="00ED18D6">
        <w:rPr>
          <w:rFonts w:ascii="Times New Roman" w:hAnsi="Times New Roman" w:cs="Times New Roman"/>
          <w:b/>
          <w:sz w:val="24"/>
          <w:szCs w:val="24"/>
        </w:rPr>
        <w:t>7</w:t>
      </w:r>
      <w:proofErr w:type="gramEnd"/>
      <w:r w:rsidRPr="00ED18D6">
        <w:rPr>
          <w:rFonts w:ascii="Times New Roman" w:hAnsi="Times New Roman" w:cs="Times New Roman"/>
          <w:b/>
          <w:sz w:val="24"/>
          <w:szCs w:val="24"/>
        </w:rPr>
        <w:t xml:space="preserve"> (sete) dias, </w:t>
      </w:r>
      <w:r w:rsidRPr="00ED18D6">
        <w:rPr>
          <w:rFonts w:ascii="Times New Roman" w:hAnsi="Times New Roman" w:cs="Times New Roman"/>
          <w:sz w:val="24"/>
          <w:szCs w:val="24"/>
        </w:rPr>
        <w:t>após a solicitação do pregoeiro</w:t>
      </w:r>
      <w:r w:rsidRPr="00ED18D6">
        <w:rPr>
          <w:rFonts w:ascii="Times New Roman" w:hAnsi="Times New Roman" w:cs="Times New Roman"/>
          <w:b/>
          <w:sz w:val="24"/>
          <w:szCs w:val="24"/>
        </w:rPr>
        <w:t>,</w:t>
      </w:r>
      <w:r w:rsidRPr="00ED18D6">
        <w:rPr>
          <w:rFonts w:ascii="Times New Roman" w:hAnsi="Times New Roman" w:cs="Times New Roman"/>
          <w:sz w:val="24"/>
          <w:szCs w:val="24"/>
        </w:rPr>
        <w:t xml:space="preserve"> para atender às recomendações e apresentar duas novas amostras ao FNDE para análise da Comissão.</w:t>
      </w:r>
    </w:p>
    <w:p w:rsidR="007D1410" w:rsidRPr="00ED18D6" w:rsidRDefault="007D1410" w:rsidP="007D1410">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bCs/>
          <w:sz w:val="24"/>
          <w:szCs w:val="24"/>
        </w:rPr>
        <w:t xml:space="preserve"> </w:t>
      </w:r>
      <w:r w:rsidRPr="00ED18D6">
        <w:rPr>
          <w:rFonts w:ascii="Times New Roman" w:hAnsi="Times New Roman" w:cs="Times New Roman"/>
          <w:bCs/>
          <w:sz w:val="24"/>
          <w:szCs w:val="24"/>
        </w:rPr>
        <w:t>Se as novas amostras não forem entregues no prazo acima estipulado, ou não atenderem às especificações deste CIT, o licitante será desclassificado do certame e o FNDE poderá convocar o próximo classificado na fase de lances.</w:t>
      </w:r>
    </w:p>
    <w:p w:rsidR="007D1410" w:rsidRDefault="007D1410" w:rsidP="007D1410">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Os custos de entrega e os riscos de avarias no transporte das amostras são de </w:t>
      </w:r>
      <w:r w:rsidRPr="00B048F5">
        <w:rPr>
          <w:rFonts w:ascii="Times New Roman" w:hAnsi="Times New Roman" w:cs="Times New Roman"/>
          <w:sz w:val="24"/>
          <w:szCs w:val="24"/>
        </w:rPr>
        <w:t>responsabilidade do licitante.</w:t>
      </w:r>
    </w:p>
    <w:p w:rsidR="007D1410" w:rsidRPr="003E17E8" w:rsidRDefault="007D1410" w:rsidP="007D1410">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7D57E7">
        <w:rPr>
          <w:rFonts w:ascii="Times New Roman" w:hAnsi="Times New Roman" w:cs="Times New Roman"/>
          <w:sz w:val="24"/>
          <w:szCs w:val="24"/>
        </w:rPr>
        <w:t xml:space="preserve">  Após a avaliação</w:t>
      </w:r>
      <w:r>
        <w:rPr>
          <w:rFonts w:ascii="Times New Roman" w:hAnsi="Times New Roman" w:cs="Times New Roman"/>
          <w:sz w:val="24"/>
          <w:szCs w:val="24"/>
        </w:rPr>
        <w:t xml:space="preserve"> pela Comissão</w:t>
      </w:r>
      <w:r w:rsidRPr="007D57E7">
        <w:rPr>
          <w:rFonts w:ascii="Times New Roman" w:hAnsi="Times New Roman" w:cs="Times New Roman"/>
          <w:sz w:val="24"/>
          <w:szCs w:val="24"/>
        </w:rPr>
        <w:t xml:space="preserve">, será elaborado Relatório de Avaliação Técnica para </w:t>
      </w:r>
      <w:r w:rsidRPr="003E17E8">
        <w:rPr>
          <w:rFonts w:ascii="Times New Roman" w:hAnsi="Times New Roman" w:cs="Times New Roman"/>
          <w:sz w:val="24"/>
          <w:szCs w:val="24"/>
        </w:rPr>
        <w:t>continuidade do processo de compras.</w:t>
      </w:r>
    </w:p>
    <w:p w:rsidR="007D1410" w:rsidRPr="003E17E8" w:rsidRDefault="007D1410" w:rsidP="007D1410">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cs="Times New Roman"/>
          <w:sz w:val="24"/>
          <w:szCs w:val="24"/>
        </w:rPr>
        <w:t xml:space="preserve"> Caso as amostras aprovadas não tenham sido apresentadas com o certificado de conformidade, o licitante deverá entrega-lo, num prazo de até </w:t>
      </w:r>
      <w:r w:rsidRPr="003E17E8">
        <w:rPr>
          <w:rFonts w:ascii="Times New Roman" w:hAnsi="Times New Roman" w:cs="Times New Roman"/>
          <w:b/>
          <w:sz w:val="24"/>
          <w:szCs w:val="24"/>
        </w:rPr>
        <w:t>30 (trinta) dias</w:t>
      </w:r>
      <w:r w:rsidRPr="003E17E8">
        <w:rPr>
          <w:rFonts w:ascii="Times New Roman" w:hAnsi="Times New Roman" w:cs="Times New Roman"/>
          <w:sz w:val="24"/>
          <w:szCs w:val="24"/>
        </w:rPr>
        <w:t>, contados da solicitação do pregoeiro.</w:t>
      </w:r>
    </w:p>
    <w:p w:rsidR="007D1410" w:rsidRPr="003E17E8" w:rsidRDefault="007D1410" w:rsidP="007D1410">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Cs/>
          <w:sz w:val="24"/>
          <w:szCs w:val="24"/>
        </w:rPr>
        <w:t xml:space="preserve"> Se o produto não for certificado no prazo acima estabelecido, por motivos justificados pelo OCP, o FNDE poderá conceder prazo adicional de </w:t>
      </w:r>
      <w:r w:rsidRPr="003E17E8">
        <w:rPr>
          <w:rFonts w:ascii="Times New Roman" w:hAnsi="Times New Roman"/>
          <w:b/>
          <w:bCs/>
          <w:sz w:val="24"/>
          <w:szCs w:val="24"/>
        </w:rPr>
        <w:t>até 15 (quinze) dias.</w:t>
      </w:r>
    </w:p>
    <w:p w:rsidR="007D1410" w:rsidRPr="003E17E8" w:rsidRDefault="007D1410" w:rsidP="007D1410">
      <w:pPr>
        <w:pStyle w:val="PargrafodaLista"/>
        <w:numPr>
          <w:ilvl w:val="3"/>
          <w:numId w:val="5"/>
        </w:numPr>
        <w:tabs>
          <w:tab w:val="left" w:pos="709"/>
          <w:tab w:val="left" w:pos="851"/>
        </w:tabs>
        <w:spacing w:line="360" w:lineRule="auto"/>
        <w:ind w:left="0" w:hanging="11"/>
        <w:jc w:val="both"/>
        <w:rPr>
          <w:rFonts w:ascii="Times New Roman" w:hAnsi="Times New Roman" w:cs="Times New Roman"/>
          <w:sz w:val="24"/>
          <w:szCs w:val="24"/>
        </w:rPr>
      </w:pPr>
      <w:r w:rsidRPr="003E17E8">
        <w:rPr>
          <w:rFonts w:ascii="Times New Roman" w:hAnsi="Times New Roman"/>
          <w:b/>
          <w:bCs/>
          <w:sz w:val="24"/>
          <w:szCs w:val="24"/>
        </w:rPr>
        <w:t xml:space="preserve">  </w:t>
      </w:r>
      <w:r w:rsidRPr="003E17E8">
        <w:rPr>
          <w:rFonts w:ascii="Times New Roman" w:hAnsi="Times New Roman"/>
          <w:bCs/>
          <w:sz w:val="24"/>
          <w:szCs w:val="24"/>
        </w:rPr>
        <w:t>Caso a empresa não apresente o certificado ou a justificativa do pedido de prorrogação não seja acatada, o segundo colocado do item será convocado, e assim sucessivamente.</w:t>
      </w:r>
    </w:p>
    <w:p w:rsidR="007D1410" w:rsidRPr="007D57E7" w:rsidRDefault="007D1410" w:rsidP="007D1410">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Pr="00B048F5">
        <w:rPr>
          <w:rFonts w:ascii="Times New Roman" w:hAnsi="Times New Roman" w:cs="Times New Roman"/>
          <w:sz w:val="24"/>
          <w:szCs w:val="24"/>
        </w:rPr>
        <w:t xml:space="preserve">Após a aprovação das amostras, essas ficarão sob a guarda do FNDE </w:t>
      </w:r>
      <w:r w:rsidRPr="00482087">
        <w:rPr>
          <w:rFonts w:ascii="Times New Roman" w:hAnsi="Times New Roman" w:cs="Times New Roman"/>
          <w:sz w:val="24"/>
          <w:szCs w:val="24"/>
        </w:rPr>
        <w:t>para eventual aferição com os produtos entregues.</w:t>
      </w:r>
      <w:r w:rsidRPr="00482087">
        <w:rPr>
          <w:rFonts w:ascii="Times New Roman" w:hAnsi="Times New Roman" w:cs="Times New Roman"/>
          <w:bCs/>
          <w:sz w:val="24"/>
          <w:szCs w:val="24"/>
        </w:rPr>
        <w:t xml:space="preserve"> </w:t>
      </w:r>
    </w:p>
    <w:p w:rsidR="007D1410" w:rsidRPr="00482087" w:rsidRDefault="007D1410" w:rsidP="007D1410">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Qualquer </w:t>
      </w:r>
      <w:r w:rsidRPr="004E4F1C">
        <w:rPr>
          <w:rFonts w:ascii="Times New Roman" w:hAnsi="Times New Roman" w:cs="Times New Roman"/>
          <w:bCs/>
          <w:sz w:val="24"/>
          <w:szCs w:val="24"/>
        </w:rPr>
        <w:t xml:space="preserve">manifestação do licitante, durante a etapa de avaliação de </w:t>
      </w:r>
      <w:r>
        <w:rPr>
          <w:rFonts w:ascii="Times New Roman" w:hAnsi="Times New Roman" w:cs="Times New Roman"/>
          <w:bCs/>
          <w:sz w:val="24"/>
          <w:szCs w:val="24"/>
        </w:rPr>
        <w:t>amostra</w:t>
      </w:r>
      <w:r w:rsidRPr="004E4F1C">
        <w:rPr>
          <w:rFonts w:ascii="Times New Roman" w:hAnsi="Times New Roman" w:cs="Times New Roman"/>
          <w:bCs/>
          <w:sz w:val="24"/>
          <w:szCs w:val="24"/>
        </w:rPr>
        <w:t>, deverá ser dirigida ao pregoeiro, por escrito</w:t>
      </w:r>
      <w:r>
        <w:rPr>
          <w:rFonts w:ascii="Times New Roman" w:hAnsi="Times New Roman" w:cs="Times New Roman"/>
          <w:bCs/>
          <w:sz w:val="24"/>
          <w:szCs w:val="24"/>
        </w:rPr>
        <w:t>.</w:t>
      </w:r>
    </w:p>
    <w:p w:rsidR="007D1410" w:rsidRPr="00C22C5C" w:rsidRDefault="007D1410" w:rsidP="007D1410">
      <w:pPr>
        <w:pStyle w:val="PargrafodaLista"/>
        <w:numPr>
          <w:ilvl w:val="3"/>
          <w:numId w:val="5"/>
        </w:numPr>
        <w:tabs>
          <w:tab w:val="left" w:pos="851"/>
        </w:tabs>
        <w:spacing w:line="360" w:lineRule="auto"/>
        <w:ind w:left="0" w:hanging="11"/>
        <w:jc w:val="both"/>
        <w:rPr>
          <w:rFonts w:ascii="Times New Roman" w:hAnsi="Times New Roman" w:cs="Times New Roman"/>
          <w:sz w:val="24"/>
          <w:szCs w:val="24"/>
        </w:rPr>
      </w:pPr>
      <w:r w:rsidRPr="0048208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A77BF">
        <w:rPr>
          <w:rFonts w:ascii="Times New Roman" w:hAnsi="Times New Roman" w:cs="Times New Roman"/>
          <w:sz w:val="24"/>
          <w:szCs w:val="24"/>
        </w:rPr>
        <w:t>As amostras reprovadas durante a 1ª etapa estarão disponíveis para serem recolhidas, em</w:t>
      </w:r>
      <w:r w:rsidRPr="00BA77BF">
        <w:rPr>
          <w:rFonts w:ascii="Times New Roman" w:hAnsi="Times New Roman" w:cs="Times New Roman"/>
          <w:b/>
          <w:sz w:val="24"/>
          <w:szCs w:val="24"/>
        </w:rPr>
        <w:t xml:space="preserve"> até</w:t>
      </w:r>
      <w:r w:rsidRPr="00BA77BF">
        <w:rPr>
          <w:rFonts w:ascii="Times New Roman" w:hAnsi="Times New Roman" w:cs="Times New Roman"/>
          <w:sz w:val="24"/>
          <w:szCs w:val="24"/>
        </w:rPr>
        <w:t xml:space="preserve"> </w:t>
      </w:r>
      <w:r w:rsidRPr="00BA77BF">
        <w:rPr>
          <w:rFonts w:ascii="Times New Roman" w:hAnsi="Times New Roman" w:cs="Times New Roman"/>
          <w:b/>
          <w:sz w:val="24"/>
          <w:szCs w:val="24"/>
        </w:rPr>
        <w:t>10 (dez) dias</w:t>
      </w:r>
      <w:r w:rsidRPr="00BA77BF">
        <w:rPr>
          <w:rFonts w:ascii="Times New Roman" w:hAnsi="Times New Roman" w:cs="Times New Roman"/>
          <w:sz w:val="24"/>
          <w:szCs w:val="24"/>
        </w:rPr>
        <w:t xml:space="preserve">, a contar da solicitação do FNDE, que ocorrerá somente após a homologação </w:t>
      </w:r>
      <w:r>
        <w:rPr>
          <w:rFonts w:ascii="Times New Roman" w:hAnsi="Times New Roman" w:cs="Times New Roman"/>
          <w:sz w:val="24"/>
          <w:szCs w:val="24"/>
        </w:rPr>
        <w:t xml:space="preserve">do </w:t>
      </w:r>
      <w:r w:rsidRPr="00BA77BF">
        <w:rPr>
          <w:rFonts w:ascii="Times New Roman" w:hAnsi="Times New Roman" w:cs="Times New Roman"/>
          <w:sz w:val="24"/>
          <w:szCs w:val="24"/>
        </w:rPr>
        <w:t>grupo</w:t>
      </w:r>
      <w:r>
        <w:rPr>
          <w:rFonts w:ascii="Times New Roman" w:hAnsi="Times New Roman" w:cs="Times New Roman"/>
          <w:sz w:val="24"/>
          <w:szCs w:val="24"/>
        </w:rPr>
        <w:t>/item</w:t>
      </w:r>
      <w:r w:rsidRPr="00BA77BF">
        <w:rPr>
          <w:rFonts w:ascii="Times New Roman" w:hAnsi="Times New Roman" w:cs="Times New Roman"/>
          <w:sz w:val="24"/>
          <w:szCs w:val="24"/>
        </w:rPr>
        <w:t>. Caso não sejam retirad</w:t>
      </w:r>
      <w:r>
        <w:rPr>
          <w:rFonts w:ascii="Times New Roman" w:hAnsi="Times New Roman" w:cs="Times New Roman"/>
          <w:sz w:val="24"/>
          <w:szCs w:val="24"/>
        </w:rPr>
        <w:t>a</w:t>
      </w:r>
      <w:r w:rsidRPr="00BA77BF">
        <w:rPr>
          <w:rFonts w:ascii="Times New Roman" w:hAnsi="Times New Roman" w:cs="Times New Roman"/>
          <w:sz w:val="24"/>
          <w:szCs w:val="24"/>
        </w:rPr>
        <w:t>s dentro do prazo estabelecido, estarão s</w:t>
      </w:r>
      <w:r>
        <w:rPr>
          <w:rFonts w:ascii="Times New Roman" w:hAnsi="Times New Roman" w:cs="Times New Roman"/>
          <w:sz w:val="24"/>
          <w:szCs w:val="24"/>
        </w:rPr>
        <w:t xml:space="preserve">ujeitas a </w:t>
      </w:r>
      <w:r w:rsidRPr="00C22C5C">
        <w:rPr>
          <w:rFonts w:ascii="Times New Roman" w:hAnsi="Times New Roman" w:cs="Times New Roman"/>
          <w:sz w:val="24"/>
          <w:szCs w:val="24"/>
        </w:rPr>
        <w:t>descarte.</w:t>
      </w:r>
    </w:p>
    <w:p w:rsidR="007D1410" w:rsidRDefault="007D1410" w:rsidP="007D1410">
      <w:pPr>
        <w:pStyle w:val="PargrafodaLista"/>
        <w:numPr>
          <w:ilvl w:val="2"/>
          <w:numId w:val="5"/>
        </w:num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2ª etapa – Análise da Produção</w:t>
      </w:r>
    </w:p>
    <w:p w:rsidR="007D1410" w:rsidRPr="00224D69" w:rsidRDefault="007D1410" w:rsidP="007D1410">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sidRPr="00224D69">
        <w:rPr>
          <w:rFonts w:ascii="Times New Roman" w:hAnsi="Times New Roman" w:cs="Times New Roman"/>
          <w:bCs/>
          <w:sz w:val="24"/>
          <w:szCs w:val="24"/>
        </w:rPr>
        <w:t xml:space="preserve">Os produtos só poderão ser entregues se apresentarem o Selo de Identificação da Conformidade do INMETRO, de acordo com a </w:t>
      </w:r>
      <w:r w:rsidRPr="00224D69">
        <w:rPr>
          <w:rFonts w:ascii="Times New Roman" w:hAnsi="Times New Roman" w:cs="Times New Roman"/>
          <w:sz w:val="24"/>
          <w:szCs w:val="24"/>
        </w:rPr>
        <w:t>ABNT NM 300: 2004 – Versão Corrigida: 2011</w:t>
      </w:r>
      <w:r w:rsidRPr="00224D69">
        <w:rPr>
          <w:rFonts w:ascii="Times New Roman" w:hAnsi="Times New Roman" w:cs="Times New Roman"/>
          <w:bCs/>
          <w:sz w:val="24"/>
          <w:szCs w:val="24"/>
        </w:rPr>
        <w:t xml:space="preserve">. </w:t>
      </w:r>
      <w:r w:rsidRPr="00224D69">
        <w:rPr>
          <w:rFonts w:ascii="Times New Roman" w:hAnsi="Times New Roman" w:cs="Times New Roman"/>
          <w:sz w:val="24"/>
          <w:szCs w:val="24"/>
        </w:rPr>
        <w:t xml:space="preserve">Caso o registro do produto junto ao INMETRO esteja suspenso ou cancelado, obrigatoriamente as entregas deverão ser suspensas.   </w:t>
      </w:r>
    </w:p>
    <w:p w:rsidR="007D1410" w:rsidRDefault="007D1410" w:rsidP="007D1410">
      <w:pPr>
        <w:pStyle w:val="PargrafodaLista"/>
        <w:numPr>
          <w:ilvl w:val="3"/>
          <w:numId w:val="5"/>
        </w:numPr>
        <w:tabs>
          <w:tab w:val="left" w:pos="851"/>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 empresa(s) vencedora(s) dos Grupos/Itens deverá (</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comprovar a conformidade dos produtos contratados, pela seguinte forma:</w:t>
      </w:r>
    </w:p>
    <w:p w:rsidR="007D1410" w:rsidRDefault="007D1410" w:rsidP="007D1410">
      <w:pPr>
        <w:pStyle w:val="Ttulo9"/>
        <w:spacing w:before="0"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Tabela 1 – Cronograma para execução das Análises de Produção</w:t>
      </w:r>
    </w:p>
    <w:tbl>
      <w:tblPr>
        <w:tblW w:w="9150" w:type="dxa"/>
        <w:jc w:val="center"/>
        <w:tblInd w:w="250" w:type="dxa"/>
        <w:tblCellMar>
          <w:left w:w="0" w:type="dxa"/>
          <w:right w:w="0" w:type="dxa"/>
        </w:tblCellMar>
        <w:tblLook w:val="04A0" w:firstRow="1" w:lastRow="0" w:firstColumn="1" w:lastColumn="0" w:noHBand="0" w:noVBand="1"/>
      </w:tblPr>
      <w:tblGrid>
        <w:gridCol w:w="2696"/>
        <w:gridCol w:w="3120"/>
        <w:gridCol w:w="3334"/>
      </w:tblGrid>
      <w:tr w:rsidR="007D1410" w:rsidTr="00223578">
        <w:trPr>
          <w:trHeight w:val="124"/>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410" w:rsidRDefault="007D1410"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Fase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410" w:rsidRDefault="007D1410"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Período</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410" w:rsidRDefault="007D1410" w:rsidP="00223578">
            <w:pPr>
              <w:spacing w:line="360" w:lineRule="auto"/>
              <w:jc w:val="cente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t>Execução</w:t>
            </w:r>
          </w:p>
        </w:tc>
      </w:tr>
      <w:tr w:rsidR="007D1410" w:rsidTr="00223578">
        <w:trPr>
          <w:trHeight w:val="1127"/>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Início da Produção</w:t>
            </w:r>
          </w:p>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(1ª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Após a primeira contratação,</w:t>
            </w:r>
          </w:p>
          <w:p w:rsidR="007D1410" w:rsidRDefault="007D1410" w:rsidP="00223578">
            <w:pPr>
              <w:spacing w:line="360" w:lineRule="auto"/>
              <w:jc w:val="center"/>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primeiro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D1410" w:rsidTr="00223578">
        <w:trPr>
          <w:trHeight w:val="921"/>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(2ª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Quinto mês de produção.</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r w:rsidR="007D1410" w:rsidTr="00223578">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Decorrer da produção</w:t>
            </w:r>
          </w:p>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(3ª análise)</w:t>
            </w:r>
          </w:p>
        </w:tc>
        <w:tc>
          <w:tcPr>
            <w:tcW w:w="3118" w:type="dxa"/>
            <w:tcBorders>
              <w:top w:val="nil"/>
              <w:left w:val="nil"/>
              <w:bottom w:val="single" w:sz="8" w:space="0" w:color="auto"/>
              <w:right w:val="single" w:sz="8" w:space="0" w:color="auto"/>
            </w:tcBorders>
            <w:tcMar>
              <w:top w:w="0" w:type="dxa"/>
              <w:left w:w="108" w:type="dxa"/>
              <w:bottom w:w="0" w:type="dxa"/>
              <w:right w:w="108" w:type="dxa"/>
            </w:tcMar>
            <w:vAlign w:val="center"/>
          </w:tcPr>
          <w:p w:rsidR="007D1410" w:rsidRDefault="007D1410" w:rsidP="00223578">
            <w:pPr>
              <w:spacing w:line="360" w:lineRule="auto"/>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Nono mês de produção</w:t>
            </w:r>
          </w:p>
          <w:p w:rsidR="007D1410" w:rsidRDefault="007D1410" w:rsidP="00223578">
            <w:pPr>
              <w:spacing w:line="360" w:lineRule="auto"/>
              <w:jc w:val="center"/>
              <w:rPr>
                <w:rFonts w:ascii="Times New Roman" w:eastAsiaTheme="minorHAnsi" w:hAnsi="Times New Roman" w:cs="Times New Roman"/>
                <w:sz w:val="24"/>
                <w:szCs w:val="24"/>
                <w:lang w:eastAsia="en-US"/>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410" w:rsidRDefault="007D1410" w:rsidP="00223578">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Visita técnica por avaliador FNDE</w:t>
            </w:r>
          </w:p>
        </w:tc>
      </w:tr>
    </w:tbl>
    <w:p w:rsidR="007D1410" w:rsidRDefault="007D1410" w:rsidP="007D1410">
      <w:pPr>
        <w:spacing w:after="0" w:line="360" w:lineRule="auto"/>
        <w:rPr>
          <w:rFonts w:ascii="Times New Roman" w:eastAsiaTheme="minorHAnsi" w:hAnsi="Times New Roman" w:cs="Times New Roman"/>
          <w:b/>
          <w:bCs/>
          <w:sz w:val="24"/>
          <w:szCs w:val="24"/>
          <w:lang w:eastAsia="en-US"/>
        </w:rPr>
      </w:pP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5.6.2.3.</w:t>
      </w:r>
      <w:r>
        <w:rPr>
          <w:rFonts w:ascii="Times New Roman" w:hAnsi="Times New Roman" w:cs="Times New Roman"/>
          <w:sz w:val="24"/>
          <w:szCs w:val="24"/>
        </w:rPr>
        <w:t xml:space="preserve"> A análise de produção consiste em visita às instalações da empresa contratada ou nas instalações vinculadas às empresas contratadas, em períodos diversos, por avaliadores do FNDE, para aplicação de instrumentos de avaliação, solicitação de documentação que comprove o atendimento aos requisitos estabelecidos no Edital de licitação e seus anexos e às normas aplicáveis ao objeto da licitação, ao longo da etapa de fabricação dos produtos.</w:t>
      </w:r>
    </w:p>
    <w:p w:rsidR="007D1410" w:rsidRDefault="007D1410" w:rsidP="007D1410">
      <w:pPr>
        <w:autoSpaceDE w:val="0"/>
        <w:autoSpaceDN w:val="0"/>
        <w:spacing w:after="0" w:line="360" w:lineRule="auto"/>
        <w:jc w:val="both"/>
        <w:rPr>
          <w:rFonts w:ascii="Times New Roman" w:hAnsi="Times New Roman" w:cs="Times New Roman"/>
          <w:strike/>
          <w:color w:val="FF0000"/>
          <w:sz w:val="24"/>
          <w:szCs w:val="24"/>
        </w:rPr>
      </w:pPr>
      <w:r>
        <w:rPr>
          <w:rFonts w:ascii="Times New Roman" w:hAnsi="Times New Roman" w:cs="Times New Roman"/>
          <w:b/>
          <w:bCs/>
          <w:sz w:val="24"/>
          <w:szCs w:val="24"/>
        </w:rPr>
        <w:t xml:space="preserve">5.6.2.4. </w:t>
      </w:r>
      <w:r>
        <w:rPr>
          <w:rFonts w:ascii="Times New Roman" w:hAnsi="Times New Roman" w:cs="Times New Roman"/>
          <w:sz w:val="24"/>
          <w:szCs w:val="24"/>
        </w:rPr>
        <w:t xml:space="preserve">Os resultados das referidas visitas constituem-se em fundamento para eventual aplicação de sanções por parte do Órgão Gerenciador junto às empresas responsáveis pela fabricação e distribuição dos produtos, caso sejam verificadas não conformidades decorrentes das atividades de sua responsabilidade. </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5.6.2.5. </w:t>
      </w:r>
      <w:r>
        <w:rPr>
          <w:rFonts w:ascii="Times New Roman" w:hAnsi="Times New Roman" w:cs="Times New Roman"/>
          <w:sz w:val="24"/>
          <w:szCs w:val="24"/>
        </w:rPr>
        <w:t>A classificação de cada não conformidade verificada ficará a critério do avaliador e constará do formulário de avaliação que constituirá a Notificação de Não Conformidade.</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5.6.2.6. </w:t>
      </w:r>
      <w:r>
        <w:rPr>
          <w:rFonts w:ascii="Times New Roman" w:hAnsi="Times New Roman" w:cs="Times New Roman"/>
          <w:sz w:val="24"/>
          <w:szCs w:val="24"/>
        </w:rPr>
        <w:t xml:space="preserve">Ao ser comunicado sobre a não conformidade, o FORNECEDOR deverá apresentar, em </w:t>
      </w:r>
      <w:r>
        <w:rPr>
          <w:rFonts w:ascii="Times New Roman" w:hAnsi="Times New Roman" w:cs="Times New Roman"/>
          <w:b/>
          <w:sz w:val="24"/>
          <w:szCs w:val="24"/>
        </w:rPr>
        <w:t xml:space="preserve">até </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(cinco) dias úteis</w:t>
      </w:r>
      <w:r>
        <w:rPr>
          <w:rFonts w:ascii="Times New Roman" w:hAnsi="Times New Roman" w:cs="Times New Roman"/>
          <w:sz w:val="24"/>
          <w:szCs w:val="24"/>
        </w:rPr>
        <w:t>, o Plano de Correção, detalhando a solução encontrada e o respectivo cronograma de execução, que deverá ser aprovado pelo FNDE.</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5.6.2.7. </w:t>
      </w:r>
      <w:r>
        <w:rPr>
          <w:rFonts w:ascii="Times New Roman" w:hAnsi="Times New Roman" w:cs="Times New Roman"/>
          <w:sz w:val="24"/>
          <w:szCs w:val="24"/>
        </w:rPr>
        <w:t>Caso o FORNECEDOR cumpra rigorosamente o Plano de Correção apresentado, a Notificação de Não Conformidade será suspensa.</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5.6.2.8.  </w:t>
      </w:r>
      <w:r>
        <w:rPr>
          <w:rFonts w:ascii="Times New Roman" w:hAnsi="Times New Roman" w:cs="Times New Roman"/>
          <w:sz w:val="24"/>
          <w:szCs w:val="24"/>
        </w:rPr>
        <w:t>A averiguação do cumprimento do Plano de Correção será realizada na visita subsequente pelo avaliador do FNDE.</w:t>
      </w:r>
    </w:p>
    <w:p w:rsidR="007D1410" w:rsidRDefault="007D1410" w:rsidP="007D1410">
      <w:pPr>
        <w:autoSpaceDE w:val="0"/>
        <w:autoSpaceDN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  </w:t>
      </w:r>
      <w:r>
        <w:rPr>
          <w:rFonts w:ascii="Times New Roman" w:hAnsi="Times New Roman" w:cs="Times New Roman"/>
          <w:sz w:val="24"/>
          <w:szCs w:val="24"/>
        </w:rPr>
        <w:t xml:space="preserve">Caso o FORNECEDOR apresente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(duas) ou mais não conformidades, não sanadas, a Ata de Registro de preços da qual é detentor ficará suspensa, impedindo qualquer contratação, até que as não conformidades sejam sanadas, pelo prazo máximo de </w:t>
      </w:r>
      <w:r>
        <w:rPr>
          <w:rFonts w:ascii="Times New Roman" w:hAnsi="Times New Roman" w:cs="Times New Roman"/>
          <w:b/>
          <w:sz w:val="24"/>
          <w:szCs w:val="24"/>
        </w:rPr>
        <w:t>30 (trinta) dias</w:t>
      </w:r>
      <w:r>
        <w:rPr>
          <w:rFonts w:ascii="Times New Roman" w:hAnsi="Times New Roman" w:cs="Times New Roman"/>
          <w:sz w:val="24"/>
          <w:szCs w:val="24"/>
        </w:rPr>
        <w:t>.</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5.6.2.9.1. </w:t>
      </w:r>
      <w:r>
        <w:rPr>
          <w:rFonts w:ascii="Times New Roman" w:hAnsi="Times New Roman" w:cs="Times New Roman"/>
          <w:sz w:val="24"/>
          <w:szCs w:val="24"/>
        </w:rPr>
        <w:t xml:space="preserve">Caso seja descumprido o prazo acima, o FNDE poderá cancelar o registro do FORNECEDOR da Ata de Registro de Preços e convocar os demais FORNECEDORES </w:t>
      </w:r>
      <w:proofErr w:type="gramStart"/>
      <w:r>
        <w:rPr>
          <w:rFonts w:ascii="Times New Roman" w:hAnsi="Times New Roman" w:cs="Times New Roman"/>
          <w:sz w:val="24"/>
          <w:szCs w:val="24"/>
        </w:rPr>
        <w:t>classificados, obedecida</w:t>
      </w:r>
      <w:proofErr w:type="gramEnd"/>
      <w:r>
        <w:rPr>
          <w:rFonts w:ascii="Times New Roman" w:hAnsi="Times New Roman" w:cs="Times New Roman"/>
          <w:sz w:val="24"/>
          <w:szCs w:val="24"/>
        </w:rPr>
        <w:t xml:space="preserve"> a ordem de classificação.</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5.6.2.10. </w:t>
      </w:r>
      <w:r>
        <w:rPr>
          <w:rFonts w:ascii="Times New Roman" w:hAnsi="Times New Roman" w:cs="Times New Roman"/>
          <w:sz w:val="24"/>
          <w:szCs w:val="24"/>
        </w:rPr>
        <w:t>As multas não têm caráter indenizatório e seu pagamento não eximirá o FORNECEDOR de ser acionado judicialmente pela responsabilidade civil derivada de perdas e danos junto ao FNDE/ENTE CONTRATANTE, decorrentes das infrações cometidas.</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5.6.2.11.</w:t>
      </w:r>
      <w:r>
        <w:rPr>
          <w:rFonts w:ascii="Times New Roman" w:hAnsi="Times New Roman" w:cs="Times New Roman"/>
          <w:sz w:val="24"/>
          <w:szCs w:val="24"/>
        </w:rPr>
        <w:t xml:space="preserve">  Os resultados serão amplamente divulgados, inclusive em meio eletrônico, com o intuito de contribuir para a melhoria das especificações, uso e fabricação dos produtos, bem como dos controles </w:t>
      </w:r>
      <w:proofErr w:type="gramStart"/>
      <w:r>
        <w:rPr>
          <w:rFonts w:ascii="Times New Roman" w:hAnsi="Times New Roman" w:cs="Times New Roman"/>
          <w:sz w:val="24"/>
          <w:szCs w:val="24"/>
        </w:rPr>
        <w:t>implementados</w:t>
      </w:r>
      <w:proofErr w:type="gramEnd"/>
      <w:r>
        <w:rPr>
          <w:rFonts w:ascii="Times New Roman" w:hAnsi="Times New Roman" w:cs="Times New Roman"/>
          <w:sz w:val="24"/>
          <w:szCs w:val="24"/>
        </w:rPr>
        <w:t xml:space="preserve"> tanto pelas empresas quanto pelo FNDE.</w:t>
      </w:r>
    </w:p>
    <w:p w:rsidR="007D1410" w:rsidRDefault="007D1410" w:rsidP="007D1410">
      <w:pPr>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5.6.2.12</w:t>
      </w:r>
      <w:r>
        <w:rPr>
          <w:rFonts w:ascii="Times New Roman" w:hAnsi="Times New Roman" w:cs="Times New Roman"/>
          <w:sz w:val="24"/>
          <w:szCs w:val="24"/>
        </w:rPr>
        <w:t>. Após o término da etapa de análise da produção, a amostra deverá ser retirada pela empresa em</w:t>
      </w:r>
      <w:r>
        <w:rPr>
          <w:rFonts w:ascii="Times New Roman" w:hAnsi="Times New Roman" w:cs="Times New Roman"/>
          <w:b/>
          <w:bCs/>
          <w:sz w:val="24"/>
          <w:szCs w:val="24"/>
        </w:rPr>
        <w:t xml:space="preserve"> até 10 (dez) dias</w:t>
      </w:r>
      <w:r>
        <w:rPr>
          <w:rFonts w:ascii="Times New Roman" w:hAnsi="Times New Roman" w:cs="Times New Roman"/>
          <w:sz w:val="24"/>
          <w:szCs w:val="24"/>
        </w:rPr>
        <w:t>, a contar da solicitação do FNDE. Caso não seja retirada dentro do prazo estabelecido, estará sujeita a descarte.</w:t>
      </w: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tabs>
          <w:tab w:val="left" w:pos="993"/>
        </w:tabs>
        <w:spacing w:line="360" w:lineRule="auto"/>
        <w:jc w:val="both"/>
        <w:rPr>
          <w:rFonts w:ascii="Times New Roman" w:hAnsi="Times New Roman" w:cs="Times New Roman"/>
          <w:sz w:val="24"/>
          <w:szCs w:val="24"/>
        </w:rPr>
      </w:pPr>
    </w:p>
    <w:p w:rsidR="005F50B0" w:rsidRDefault="005F50B0" w:rsidP="005F50B0">
      <w:pPr>
        <w:pStyle w:val="PargrafodaLista"/>
        <w:spacing w:line="360" w:lineRule="auto"/>
        <w:ind w:left="0"/>
        <w:jc w:val="both"/>
        <w:rPr>
          <w:rFonts w:ascii="Times New Roman" w:hAnsi="Times New Roman" w:cs="Times New Roman"/>
          <w:sz w:val="24"/>
          <w:szCs w:val="24"/>
        </w:rPr>
      </w:pPr>
    </w:p>
    <w:sectPr w:rsidR="005F50B0" w:rsidSect="003C75AB">
      <w:headerReference w:type="default" r:id="rId9"/>
      <w:footerReference w:type="default" r:id="rId1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52" w:rsidRDefault="008D6552" w:rsidP="00AC4192">
      <w:pPr>
        <w:spacing w:after="0" w:line="240" w:lineRule="auto"/>
      </w:pPr>
      <w:r>
        <w:separator/>
      </w:r>
    </w:p>
  </w:endnote>
  <w:endnote w:type="continuationSeparator" w:id="0">
    <w:p w:rsidR="008D6552" w:rsidRDefault="008D6552" w:rsidP="00AC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00"/>
    <w:family w:val="swiss"/>
    <w:pitch w:val="variable"/>
    <w:sig w:usb0="E7000EFF" w:usb1="5200FDFF" w:usb2="0A042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cofont_Spranq_eco_Sans">
    <w:altName w:val="Trebuchet MS"/>
    <w:charset w:val="00"/>
    <w:family w:val="swiss"/>
    <w:pitch w:val="variable"/>
    <w:sig w:usb0="00000003" w:usb1="1000204A" w:usb2="00000000" w:usb3="00000000" w:csb0="00000001" w:csb1="00000000"/>
  </w:font>
  <w:font w:name="Conduit ITC Light">
    <w:altName w:val="Times New Roman"/>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788"/>
      <w:docPartObj>
        <w:docPartGallery w:val="Page Numbers (Bottom of Page)"/>
        <w:docPartUnique/>
      </w:docPartObj>
    </w:sdtPr>
    <w:sdtEndPr/>
    <w:sdtContent>
      <w:p w:rsidR="008D6552" w:rsidRDefault="00F76571">
        <w:pPr>
          <w:pStyle w:val="Rodap"/>
          <w:jc w:val="right"/>
        </w:pPr>
        <w:r>
          <w:fldChar w:fldCharType="begin"/>
        </w:r>
        <w:r w:rsidR="008D6552">
          <w:instrText xml:space="preserve"> PAGE   \* MERGEFORMAT </w:instrText>
        </w:r>
        <w:r>
          <w:fldChar w:fldCharType="separate"/>
        </w:r>
        <w:r w:rsidR="00113254">
          <w:rPr>
            <w:noProof/>
          </w:rPr>
          <w:t>3</w:t>
        </w:r>
        <w:r>
          <w:rPr>
            <w:noProof/>
          </w:rPr>
          <w:fldChar w:fldCharType="end"/>
        </w:r>
      </w:p>
    </w:sdtContent>
  </w:sdt>
  <w:p w:rsidR="008D6552" w:rsidRDefault="008D65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52" w:rsidRDefault="008D6552" w:rsidP="00AC4192">
      <w:pPr>
        <w:spacing w:after="0" w:line="240" w:lineRule="auto"/>
      </w:pPr>
      <w:r>
        <w:separator/>
      </w:r>
    </w:p>
  </w:footnote>
  <w:footnote w:type="continuationSeparator" w:id="0">
    <w:p w:rsidR="008D6552" w:rsidRDefault="008D6552" w:rsidP="00AC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52" w:rsidRDefault="008D6552">
    <w:pPr>
      <w:pStyle w:val="Cabealho"/>
      <w:jc w:val="right"/>
    </w:pPr>
  </w:p>
  <w:p w:rsidR="008D6552" w:rsidRDefault="008D65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F4006D1E"/>
    <w:lvl w:ilvl="0">
      <w:start w:val="1"/>
      <w:numFmt w:val="decimal"/>
      <w:lvlText w:val="%1."/>
      <w:lvlJc w:val="left"/>
      <w:pPr>
        <w:ind w:left="786" w:hanging="360"/>
      </w:pPr>
      <w:rPr>
        <w:rFonts w:ascii="Times New Roman" w:hAnsi="Times New Roman" w:hint="default"/>
        <w:b/>
        <w:i w:val="0"/>
        <w:sz w:val="24"/>
      </w:rPr>
    </w:lvl>
    <w:lvl w:ilvl="1">
      <w:start w:val="1"/>
      <w:numFmt w:val="decimal"/>
      <w:lvlText w:val="%1.%2."/>
      <w:lvlJc w:val="left"/>
      <w:pPr>
        <w:ind w:left="0" w:firstLine="0"/>
      </w:pPr>
      <w:rPr>
        <w:rFonts w:ascii="Times New Roman" w:hAnsi="Times New Roman" w:cs="Times New Roman" w:hint="default"/>
        <w:b/>
        <w:sz w:val="24"/>
        <w:szCs w:val="24"/>
      </w:rPr>
    </w:lvl>
    <w:lvl w:ilvl="2">
      <w:start w:val="1"/>
      <w:numFmt w:val="decimal"/>
      <w:lvlText w:val="%1.%2.%3."/>
      <w:lvlJc w:val="left"/>
      <w:pPr>
        <w:ind w:left="1985" w:hanging="567"/>
      </w:pPr>
      <w:rPr>
        <w:rFonts w:ascii="Times New Roman" w:hAnsi="Times New Roman" w:hint="default"/>
        <w:b/>
        <w:sz w:val="24"/>
      </w:rPr>
    </w:lvl>
    <w:lvl w:ilvl="3">
      <w:start w:val="1"/>
      <w:numFmt w:val="decimal"/>
      <w:lvlText w:val="%1.%2.%3.%4."/>
      <w:lvlJc w:val="left"/>
      <w:pPr>
        <w:ind w:left="2835" w:hanging="850"/>
      </w:pPr>
      <w:rPr>
        <w:rFonts w:ascii="Times New Roman" w:hAnsi="Times New Roman" w:hint="default"/>
        <w:b/>
        <w:i w:val="0"/>
        <w:sz w:val="24"/>
      </w:rPr>
    </w:lvl>
    <w:lvl w:ilvl="4">
      <w:start w:val="1"/>
      <w:numFmt w:val="decimal"/>
      <w:lvlText w:val="%1.%2.%3.%4.%5."/>
      <w:lvlJc w:val="left"/>
      <w:pPr>
        <w:ind w:left="2232" w:hanging="792"/>
      </w:pPr>
      <w:rPr>
        <w:rFonts w:ascii="Times New Roman" w:hAnsi="Times New Roman" w:hint="default"/>
        <w:b/>
        <w:i w:val="0"/>
        <w:sz w:val="24"/>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90A7A08"/>
    <w:multiLevelType w:val="hybridMultilevel"/>
    <w:tmpl w:val="99A038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2591FEF"/>
    <w:multiLevelType w:val="multilevel"/>
    <w:tmpl w:val="5E2AE7B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nsid w:val="24BA1DBE"/>
    <w:multiLevelType w:val="multilevel"/>
    <w:tmpl w:val="EBD6F9B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C1E2AAA"/>
    <w:multiLevelType w:val="multilevel"/>
    <w:tmpl w:val="F5602D4C"/>
    <w:lvl w:ilvl="0">
      <w:start w:val="5"/>
      <w:numFmt w:val="decimal"/>
      <w:lvlText w:val="%1"/>
      <w:lvlJc w:val="left"/>
      <w:pPr>
        <w:ind w:left="480" w:hanging="480"/>
      </w:pPr>
      <w:rPr>
        <w:rFonts w:eastAsia="Times New Roman" w:cs="Times New Roman" w:hint="default"/>
      </w:rPr>
    </w:lvl>
    <w:lvl w:ilvl="1">
      <w:start w:val="6"/>
      <w:numFmt w:val="decimal"/>
      <w:lvlText w:val="%1.%2"/>
      <w:lvlJc w:val="left"/>
      <w:pPr>
        <w:ind w:left="763" w:hanging="480"/>
      </w:pPr>
      <w:rPr>
        <w:rFonts w:eastAsia="Times New Roman" w:cs="Times New Roman" w:hint="default"/>
      </w:rPr>
    </w:lvl>
    <w:lvl w:ilvl="2">
      <w:start w:val="1"/>
      <w:numFmt w:val="decimal"/>
      <w:lvlText w:val="%1.%2.%3"/>
      <w:lvlJc w:val="left"/>
      <w:pPr>
        <w:ind w:left="1286" w:hanging="720"/>
      </w:pPr>
      <w:rPr>
        <w:rFonts w:eastAsia="Times New Roman" w:cs="Times New Roman" w:hint="default"/>
      </w:rPr>
    </w:lvl>
    <w:lvl w:ilvl="3">
      <w:start w:val="1"/>
      <w:numFmt w:val="decimal"/>
      <w:lvlText w:val="%1.%2.%3.%4"/>
      <w:lvlJc w:val="left"/>
      <w:pPr>
        <w:ind w:left="1569" w:hanging="720"/>
      </w:pPr>
      <w:rPr>
        <w:rFonts w:eastAsia="Times New Roman" w:cs="Times New Roman" w:hint="default"/>
      </w:rPr>
    </w:lvl>
    <w:lvl w:ilvl="4">
      <w:start w:val="1"/>
      <w:numFmt w:val="decimal"/>
      <w:lvlText w:val="%1.%2.%3.%4.%5"/>
      <w:lvlJc w:val="left"/>
      <w:pPr>
        <w:ind w:left="2212" w:hanging="1080"/>
      </w:pPr>
      <w:rPr>
        <w:rFonts w:eastAsia="Times New Roman" w:cs="Times New Roman" w:hint="default"/>
      </w:rPr>
    </w:lvl>
    <w:lvl w:ilvl="5">
      <w:start w:val="1"/>
      <w:numFmt w:val="decimal"/>
      <w:lvlText w:val="%1.%2.%3.%4.%5.%6"/>
      <w:lvlJc w:val="left"/>
      <w:pPr>
        <w:ind w:left="2495" w:hanging="1080"/>
      </w:pPr>
      <w:rPr>
        <w:rFonts w:eastAsia="Times New Roman" w:cs="Times New Roman" w:hint="default"/>
      </w:rPr>
    </w:lvl>
    <w:lvl w:ilvl="6">
      <w:start w:val="1"/>
      <w:numFmt w:val="decimal"/>
      <w:lvlText w:val="%1.%2.%3.%4.%5.%6.%7"/>
      <w:lvlJc w:val="left"/>
      <w:pPr>
        <w:ind w:left="3138" w:hanging="1440"/>
      </w:pPr>
      <w:rPr>
        <w:rFonts w:eastAsia="Times New Roman" w:cs="Times New Roman" w:hint="default"/>
      </w:rPr>
    </w:lvl>
    <w:lvl w:ilvl="7">
      <w:start w:val="1"/>
      <w:numFmt w:val="decimal"/>
      <w:lvlText w:val="%1.%2.%3.%4.%5.%6.%7.%8"/>
      <w:lvlJc w:val="left"/>
      <w:pPr>
        <w:ind w:left="3421" w:hanging="1440"/>
      </w:pPr>
      <w:rPr>
        <w:rFonts w:eastAsia="Times New Roman" w:cs="Times New Roman" w:hint="default"/>
      </w:rPr>
    </w:lvl>
    <w:lvl w:ilvl="8">
      <w:start w:val="1"/>
      <w:numFmt w:val="decimal"/>
      <w:lvlText w:val="%1.%2.%3.%4.%5.%6.%7.%8.%9"/>
      <w:lvlJc w:val="left"/>
      <w:pPr>
        <w:ind w:left="4064" w:hanging="1800"/>
      </w:pPr>
      <w:rPr>
        <w:rFonts w:eastAsia="Times New Roman" w:cs="Times New Roman" w:hint="default"/>
      </w:rPr>
    </w:lvl>
  </w:abstractNum>
  <w:abstractNum w:abstractNumId="5">
    <w:nsid w:val="35BF2028"/>
    <w:multiLevelType w:val="multilevel"/>
    <w:tmpl w:val="B4D4BB04"/>
    <w:lvl w:ilvl="0">
      <w:start w:val="5"/>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49E93859"/>
    <w:multiLevelType w:val="multilevel"/>
    <w:tmpl w:val="D5FA826A"/>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6FB709D"/>
    <w:multiLevelType w:val="hybridMultilevel"/>
    <w:tmpl w:val="3274072A"/>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4476C88A">
      <w:start w:val="1"/>
      <w:numFmt w:val="lowerLetter"/>
      <w:lvlText w:val="%3)"/>
      <w:lvlJc w:val="left"/>
      <w:pPr>
        <w:ind w:left="2340" w:hanging="360"/>
      </w:pPr>
      <w:rPr>
        <w:rFonts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0A7938"/>
    <w:multiLevelType w:val="hybridMultilevel"/>
    <w:tmpl w:val="C5E2249E"/>
    <w:lvl w:ilvl="0" w:tplc="585E76C8">
      <w:start w:val="4"/>
      <w:numFmt w:val="bullet"/>
      <w:lvlText w:val=""/>
      <w:lvlJc w:val="left"/>
      <w:pPr>
        <w:ind w:left="720" w:hanging="360"/>
      </w:pPr>
      <w:rPr>
        <w:rFonts w:ascii="Wingdings" w:eastAsia="DejaVu Sans"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EBC5915"/>
    <w:multiLevelType w:val="hybridMultilevel"/>
    <w:tmpl w:val="874CD0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9"/>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5"/>
    <w:rsid w:val="0000176E"/>
    <w:rsid w:val="00002304"/>
    <w:rsid w:val="00002725"/>
    <w:rsid w:val="00007B4A"/>
    <w:rsid w:val="000104B5"/>
    <w:rsid w:val="0001150F"/>
    <w:rsid w:val="00024CA4"/>
    <w:rsid w:val="00025C93"/>
    <w:rsid w:val="00026CBD"/>
    <w:rsid w:val="00036369"/>
    <w:rsid w:val="00036A45"/>
    <w:rsid w:val="000402A4"/>
    <w:rsid w:val="00042F67"/>
    <w:rsid w:val="00043206"/>
    <w:rsid w:val="000453F3"/>
    <w:rsid w:val="00046CDA"/>
    <w:rsid w:val="00050CFA"/>
    <w:rsid w:val="000518BA"/>
    <w:rsid w:val="00056560"/>
    <w:rsid w:val="00063A0D"/>
    <w:rsid w:val="000803F3"/>
    <w:rsid w:val="000816BB"/>
    <w:rsid w:val="000816E6"/>
    <w:rsid w:val="0008188D"/>
    <w:rsid w:val="0008585E"/>
    <w:rsid w:val="00096F86"/>
    <w:rsid w:val="000A09A8"/>
    <w:rsid w:val="000A1705"/>
    <w:rsid w:val="000A44A1"/>
    <w:rsid w:val="000B115A"/>
    <w:rsid w:val="000B28EC"/>
    <w:rsid w:val="000B2CDF"/>
    <w:rsid w:val="000B7656"/>
    <w:rsid w:val="000C7458"/>
    <w:rsid w:val="000D7548"/>
    <w:rsid w:val="000E21C6"/>
    <w:rsid w:val="000E684B"/>
    <w:rsid w:val="000F3BE4"/>
    <w:rsid w:val="00103E0B"/>
    <w:rsid w:val="00113254"/>
    <w:rsid w:val="0012008F"/>
    <w:rsid w:val="0012390B"/>
    <w:rsid w:val="001258B3"/>
    <w:rsid w:val="0013388B"/>
    <w:rsid w:val="00140252"/>
    <w:rsid w:val="001430B7"/>
    <w:rsid w:val="00143B8B"/>
    <w:rsid w:val="001579AB"/>
    <w:rsid w:val="00176B0D"/>
    <w:rsid w:val="001A0F47"/>
    <w:rsid w:val="001A2868"/>
    <w:rsid w:val="001A3AD2"/>
    <w:rsid w:val="001A5446"/>
    <w:rsid w:val="001A5B91"/>
    <w:rsid w:val="001A7290"/>
    <w:rsid w:val="001B382F"/>
    <w:rsid w:val="001B59BD"/>
    <w:rsid w:val="001B7CCC"/>
    <w:rsid w:val="001C3551"/>
    <w:rsid w:val="001C7A6F"/>
    <w:rsid w:val="001D3500"/>
    <w:rsid w:val="001D3962"/>
    <w:rsid w:val="001E094A"/>
    <w:rsid w:val="001E3A79"/>
    <w:rsid w:val="001E49E1"/>
    <w:rsid w:val="001E6AD4"/>
    <w:rsid w:val="001E714A"/>
    <w:rsid w:val="001F2627"/>
    <w:rsid w:val="001F70EB"/>
    <w:rsid w:val="0020001A"/>
    <w:rsid w:val="002005E2"/>
    <w:rsid w:val="00203D12"/>
    <w:rsid w:val="00213DE2"/>
    <w:rsid w:val="00223703"/>
    <w:rsid w:val="00236155"/>
    <w:rsid w:val="002578F8"/>
    <w:rsid w:val="00265619"/>
    <w:rsid w:val="00273A46"/>
    <w:rsid w:val="00281BA2"/>
    <w:rsid w:val="0029080F"/>
    <w:rsid w:val="002914C4"/>
    <w:rsid w:val="00293163"/>
    <w:rsid w:val="002952C4"/>
    <w:rsid w:val="002A2676"/>
    <w:rsid w:val="002A4512"/>
    <w:rsid w:val="002B09C1"/>
    <w:rsid w:val="002C6ED4"/>
    <w:rsid w:val="002D1C40"/>
    <w:rsid w:val="002D5E3D"/>
    <w:rsid w:val="002E3D01"/>
    <w:rsid w:val="002F3233"/>
    <w:rsid w:val="002F5317"/>
    <w:rsid w:val="003012F3"/>
    <w:rsid w:val="00301EF3"/>
    <w:rsid w:val="003054BD"/>
    <w:rsid w:val="00310ACF"/>
    <w:rsid w:val="00310E03"/>
    <w:rsid w:val="0031525B"/>
    <w:rsid w:val="00315B59"/>
    <w:rsid w:val="003200B1"/>
    <w:rsid w:val="00324949"/>
    <w:rsid w:val="003329B9"/>
    <w:rsid w:val="003403F4"/>
    <w:rsid w:val="00340CE3"/>
    <w:rsid w:val="00356C27"/>
    <w:rsid w:val="00361BFF"/>
    <w:rsid w:val="0036411C"/>
    <w:rsid w:val="00373796"/>
    <w:rsid w:val="00375493"/>
    <w:rsid w:val="00375D4A"/>
    <w:rsid w:val="00375DC9"/>
    <w:rsid w:val="00376D2E"/>
    <w:rsid w:val="00397A2F"/>
    <w:rsid w:val="003A1679"/>
    <w:rsid w:val="003A4C33"/>
    <w:rsid w:val="003B26F3"/>
    <w:rsid w:val="003B6780"/>
    <w:rsid w:val="003C75AB"/>
    <w:rsid w:val="003D1BF1"/>
    <w:rsid w:val="003D6E1E"/>
    <w:rsid w:val="003E3694"/>
    <w:rsid w:val="003F00BB"/>
    <w:rsid w:val="003F11A6"/>
    <w:rsid w:val="003F195B"/>
    <w:rsid w:val="003F60DB"/>
    <w:rsid w:val="004002E1"/>
    <w:rsid w:val="004108B9"/>
    <w:rsid w:val="00416929"/>
    <w:rsid w:val="004300F3"/>
    <w:rsid w:val="00433B02"/>
    <w:rsid w:val="00436F86"/>
    <w:rsid w:val="004438AE"/>
    <w:rsid w:val="004447BD"/>
    <w:rsid w:val="00446C4B"/>
    <w:rsid w:val="00453C5C"/>
    <w:rsid w:val="004604CE"/>
    <w:rsid w:val="00461800"/>
    <w:rsid w:val="00467CAF"/>
    <w:rsid w:val="004702B9"/>
    <w:rsid w:val="00483AFF"/>
    <w:rsid w:val="00492058"/>
    <w:rsid w:val="004A0627"/>
    <w:rsid w:val="004A7AA5"/>
    <w:rsid w:val="004B7804"/>
    <w:rsid w:val="004C1057"/>
    <w:rsid w:val="004C611B"/>
    <w:rsid w:val="004D09F5"/>
    <w:rsid w:val="004D6A68"/>
    <w:rsid w:val="004E5C9C"/>
    <w:rsid w:val="004E5E7B"/>
    <w:rsid w:val="004E6F56"/>
    <w:rsid w:val="004F0100"/>
    <w:rsid w:val="004F1CBA"/>
    <w:rsid w:val="004F6481"/>
    <w:rsid w:val="00501CFC"/>
    <w:rsid w:val="00503163"/>
    <w:rsid w:val="005042D5"/>
    <w:rsid w:val="00506562"/>
    <w:rsid w:val="00506690"/>
    <w:rsid w:val="00507B90"/>
    <w:rsid w:val="005124AB"/>
    <w:rsid w:val="005147C3"/>
    <w:rsid w:val="005232FD"/>
    <w:rsid w:val="005276E4"/>
    <w:rsid w:val="00532DC7"/>
    <w:rsid w:val="00536756"/>
    <w:rsid w:val="0054420D"/>
    <w:rsid w:val="00552AB5"/>
    <w:rsid w:val="0055444C"/>
    <w:rsid w:val="00560865"/>
    <w:rsid w:val="00561F9D"/>
    <w:rsid w:val="00567790"/>
    <w:rsid w:val="0057198B"/>
    <w:rsid w:val="00572A34"/>
    <w:rsid w:val="00575C93"/>
    <w:rsid w:val="00577061"/>
    <w:rsid w:val="00580272"/>
    <w:rsid w:val="00585DF3"/>
    <w:rsid w:val="005909FE"/>
    <w:rsid w:val="00593A1F"/>
    <w:rsid w:val="005975FA"/>
    <w:rsid w:val="005A021A"/>
    <w:rsid w:val="005A0982"/>
    <w:rsid w:val="005A0F0A"/>
    <w:rsid w:val="005C41FF"/>
    <w:rsid w:val="005D13EC"/>
    <w:rsid w:val="005E0F6C"/>
    <w:rsid w:val="005E1400"/>
    <w:rsid w:val="005E4967"/>
    <w:rsid w:val="005F0EA2"/>
    <w:rsid w:val="005F50B0"/>
    <w:rsid w:val="00600B19"/>
    <w:rsid w:val="00601901"/>
    <w:rsid w:val="00602AD3"/>
    <w:rsid w:val="00606054"/>
    <w:rsid w:val="006077E3"/>
    <w:rsid w:val="00611D99"/>
    <w:rsid w:val="006157BE"/>
    <w:rsid w:val="00625321"/>
    <w:rsid w:val="00625999"/>
    <w:rsid w:val="00632CC7"/>
    <w:rsid w:val="0063473E"/>
    <w:rsid w:val="00653B6A"/>
    <w:rsid w:val="00660718"/>
    <w:rsid w:val="0066247F"/>
    <w:rsid w:val="00663104"/>
    <w:rsid w:val="0068150F"/>
    <w:rsid w:val="00685C65"/>
    <w:rsid w:val="00686EBD"/>
    <w:rsid w:val="006901B2"/>
    <w:rsid w:val="006C7BFF"/>
    <w:rsid w:val="006D3893"/>
    <w:rsid w:val="006D4F5B"/>
    <w:rsid w:val="006E0629"/>
    <w:rsid w:val="006E0DC5"/>
    <w:rsid w:val="006E1E8C"/>
    <w:rsid w:val="006E28C1"/>
    <w:rsid w:val="006E38DB"/>
    <w:rsid w:val="006E3E2A"/>
    <w:rsid w:val="006E72DA"/>
    <w:rsid w:val="006F5D1F"/>
    <w:rsid w:val="007019FE"/>
    <w:rsid w:val="00711065"/>
    <w:rsid w:val="007146B6"/>
    <w:rsid w:val="00723859"/>
    <w:rsid w:val="00731EB2"/>
    <w:rsid w:val="00735299"/>
    <w:rsid w:val="00745825"/>
    <w:rsid w:val="00746F69"/>
    <w:rsid w:val="00753C45"/>
    <w:rsid w:val="00754B4F"/>
    <w:rsid w:val="00756DD8"/>
    <w:rsid w:val="0075745A"/>
    <w:rsid w:val="00757EB1"/>
    <w:rsid w:val="00763131"/>
    <w:rsid w:val="0076681D"/>
    <w:rsid w:val="00776E00"/>
    <w:rsid w:val="00793BAC"/>
    <w:rsid w:val="00793D6D"/>
    <w:rsid w:val="00796BB0"/>
    <w:rsid w:val="0079714C"/>
    <w:rsid w:val="0079754B"/>
    <w:rsid w:val="007A0E04"/>
    <w:rsid w:val="007A2CC9"/>
    <w:rsid w:val="007A500F"/>
    <w:rsid w:val="007B02DA"/>
    <w:rsid w:val="007B0FCD"/>
    <w:rsid w:val="007B1267"/>
    <w:rsid w:val="007B21E6"/>
    <w:rsid w:val="007C025B"/>
    <w:rsid w:val="007C5FD4"/>
    <w:rsid w:val="007C6895"/>
    <w:rsid w:val="007D1410"/>
    <w:rsid w:val="007D40FC"/>
    <w:rsid w:val="007D66E2"/>
    <w:rsid w:val="007E068D"/>
    <w:rsid w:val="007E55FE"/>
    <w:rsid w:val="007E6BA3"/>
    <w:rsid w:val="007E7422"/>
    <w:rsid w:val="007F608A"/>
    <w:rsid w:val="00807372"/>
    <w:rsid w:val="00810040"/>
    <w:rsid w:val="00823612"/>
    <w:rsid w:val="008242CE"/>
    <w:rsid w:val="00825947"/>
    <w:rsid w:val="008316F8"/>
    <w:rsid w:val="00834B41"/>
    <w:rsid w:val="0083753F"/>
    <w:rsid w:val="00842FEA"/>
    <w:rsid w:val="00851473"/>
    <w:rsid w:val="00855E5F"/>
    <w:rsid w:val="00876320"/>
    <w:rsid w:val="008821FA"/>
    <w:rsid w:val="00886B74"/>
    <w:rsid w:val="008970C3"/>
    <w:rsid w:val="008A31FD"/>
    <w:rsid w:val="008A3FE4"/>
    <w:rsid w:val="008A6A0A"/>
    <w:rsid w:val="008B59BB"/>
    <w:rsid w:val="008D6465"/>
    <w:rsid w:val="008D6552"/>
    <w:rsid w:val="008E11B2"/>
    <w:rsid w:val="008E5B8B"/>
    <w:rsid w:val="008E6FAA"/>
    <w:rsid w:val="008F1414"/>
    <w:rsid w:val="008F6353"/>
    <w:rsid w:val="0090015A"/>
    <w:rsid w:val="0090327F"/>
    <w:rsid w:val="009119AA"/>
    <w:rsid w:val="00912E03"/>
    <w:rsid w:val="00920201"/>
    <w:rsid w:val="00930804"/>
    <w:rsid w:val="00931843"/>
    <w:rsid w:val="00937233"/>
    <w:rsid w:val="00947D54"/>
    <w:rsid w:val="00947DC3"/>
    <w:rsid w:val="00953D53"/>
    <w:rsid w:val="009552FB"/>
    <w:rsid w:val="009600D5"/>
    <w:rsid w:val="00962BDE"/>
    <w:rsid w:val="009632B8"/>
    <w:rsid w:val="00963475"/>
    <w:rsid w:val="00964AF5"/>
    <w:rsid w:val="00971364"/>
    <w:rsid w:val="009730A3"/>
    <w:rsid w:val="009865EE"/>
    <w:rsid w:val="0098766D"/>
    <w:rsid w:val="0099467D"/>
    <w:rsid w:val="00996CA3"/>
    <w:rsid w:val="009B3F0B"/>
    <w:rsid w:val="009B4469"/>
    <w:rsid w:val="009B6CAF"/>
    <w:rsid w:val="009C0B62"/>
    <w:rsid w:val="009C1439"/>
    <w:rsid w:val="009D17CA"/>
    <w:rsid w:val="009D6B2B"/>
    <w:rsid w:val="009F4088"/>
    <w:rsid w:val="009F4813"/>
    <w:rsid w:val="009F6431"/>
    <w:rsid w:val="00A01502"/>
    <w:rsid w:val="00A04971"/>
    <w:rsid w:val="00A0511F"/>
    <w:rsid w:val="00A168D9"/>
    <w:rsid w:val="00A20135"/>
    <w:rsid w:val="00A25FB6"/>
    <w:rsid w:val="00A43C19"/>
    <w:rsid w:val="00A51464"/>
    <w:rsid w:val="00A53839"/>
    <w:rsid w:val="00A54BA3"/>
    <w:rsid w:val="00A6038F"/>
    <w:rsid w:val="00A611DB"/>
    <w:rsid w:val="00A640DB"/>
    <w:rsid w:val="00A734DB"/>
    <w:rsid w:val="00A7439C"/>
    <w:rsid w:val="00A837F0"/>
    <w:rsid w:val="00A9282F"/>
    <w:rsid w:val="00A96113"/>
    <w:rsid w:val="00AA71F6"/>
    <w:rsid w:val="00AC4192"/>
    <w:rsid w:val="00AC640F"/>
    <w:rsid w:val="00AD0DC2"/>
    <w:rsid w:val="00AE09C8"/>
    <w:rsid w:val="00AF0748"/>
    <w:rsid w:val="00AF26E5"/>
    <w:rsid w:val="00B01A06"/>
    <w:rsid w:val="00B045C2"/>
    <w:rsid w:val="00B10F6D"/>
    <w:rsid w:val="00B11DD3"/>
    <w:rsid w:val="00B12B83"/>
    <w:rsid w:val="00B24E1F"/>
    <w:rsid w:val="00B32336"/>
    <w:rsid w:val="00B33FB6"/>
    <w:rsid w:val="00B4234A"/>
    <w:rsid w:val="00B47AD7"/>
    <w:rsid w:val="00B63A48"/>
    <w:rsid w:val="00B63E64"/>
    <w:rsid w:val="00B64254"/>
    <w:rsid w:val="00B64DD8"/>
    <w:rsid w:val="00B73404"/>
    <w:rsid w:val="00B73C2E"/>
    <w:rsid w:val="00B75C1B"/>
    <w:rsid w:val="00B76BB3"/>
    <w:rsid w:val="00B7763C"/>
    <w:rsid w:val="00B841AC"/>
    <w:rsid w:val="00B91470"/>
    <w:rsid w:val="00BA0079"/>
    <w:rsid w:val="00BA259F"/>
    <w:rsid w:val="00BA7BF5"/>
    <w:rsid w:val="00BD0641"/>
    <w:rsid w:val="00BE0BC0"/>
    <w:rsid w:val="00BE0C7C"/>
    <w:rsid w:val="00BE3E9B"/>
    <w:rsid w:val="00BE4D0B"/>
    <w:rsid w:val="00BF2D84"/>
    <w:rsid w:val="00C002B8"/>
    <w:rsid w:val="00C0436B"/>
    <w:rsid w:val="00C05280"/>
    <w:rsid w:val="00C06436"/>
    <w:rsid w:val="00C2203F"/>
    <w:rsid w:val="00C248F2"/>
    <w:rsid w:val="00C34049"/>
    <w:rsid w:val="00C4083D"/>
    <w:rsid w:val="00C51155"/>
    <w:rsid w:val="00C55E30"/>
    <w:rsid w:val="00C602B1"/>
    <w:rsid w:val="00C622EC"/>
    <w:rsid w:val="00C632A0"/>
    <w:rsid w:val="00C64BD4"/>
    <w:rsid w:val="00C70155"/>
    <w:rsid w:val="00C70D31"/>
    <w:rsid w:val="00C7498C"/>
    <w:rsid w:val="00CA12CB"/>
    <w:rsid w:val="00CA4355"/>
    <w:rsid w:val="00CB164B"/>
    <w:rsid w:val="00CB7897"/>
    <w:rsid w:val="00CC7913"/>
    <w:rsid w:val="00CD1153"/>
    <w:rsid w:val="00CE01E5"/>
    <w:rsid w:val="00CE1A74"/>
    <w:rsid w:val="00CE5F0A"/>
    <w:rsid w:val="00CF6BEC"/>
    <w:rsid w:val="00D04524"/>
    <w:rsid w:val="00D1125D"/>
    <w:rsid w:val="00D11E5E"/>
    <w:rsid w:val="00D15040"/>
    <w:rsid w:val="00D30D45"/>
    <w:rsid w:val="00D34549"/>
    <w:rsid w:val="00D35CBF"/>
    <w:rsid w:val="00D409BD"/>
    <w:rsid w:val="00D43156"/>
    <w:rsid w:val="00D51B05"/>
    <w:rsid w:val="00D57175"/>
    <w:rsid w:val="00D9287A"/>
    <w:rsid w:val="00D94027"/>
    <w:rsid w:val="00D97BD6"/>
    <w:rsid w:val="00DA3A58"/>
    <w:rsid w:val="00DB00E8"/>
    <w:rsid w:val="00DB3866"/>
    <w:rsid w:val="00DC2664"/>
    <w:rsid w:val="00DC3E08"/>
    <w:rsid w:val="00DC68B3"/>
    <w:rsid w:val="00DD2937"/>
    <w:rsid w:val="00DD2A36"/>
    <w:rsid w:val="00DD574A"/>
    <w:rsid w:val="00DD5F3A"/>
    <w:rsid w:val="00DD7B6C"/>
    <w:rsid w:val="00DE2A20"/>
    <w:rsid w:val="00DE2B6D"/>
    <w:rsid w:val="00DE2E12"/>
    <w:rsid w:val="00DE49FE"/>
    <w:rsid w:val="00DE50F6"/>
    <w:rsid w:val="00DF61DE"/>
    <w:rsid w:val="00E10F3D"/>
    <w:rsid w:val="00E11A71"/>
    <w:rsid w:val="00E1215F"/>
    <w:rsid w:val="00E1766C"/>
    <w:rsid w:val="00E26A56"/>
    <w:rsid w:val="00E340BA"/>
    <w:rsid w:val="00E46981"/>
    <w:rsid w:val="00E47717"/>
    <w:rsid w:val="00E5052F"/>
    <w:rsid w:val="00E50E38"/>
    <w:rsid w:val="00E60265"/>
    <w:rsid w:val="00E61716"/>
    <w:rsid w:val="00E65EEC"/>
    <w:rsid w:val="00E65FF6"/>
    <w:rsid w:val="00E7260A"/>
    <w:rsid w:val="00E82480"/>
    <w:rsid w:val="00E848AE"/>
    <w:rsid w:val="00E918A9"/>
    <w:rsid w:val="00EB407F"/>
    <w:rsid w:val="00EB4F16"/>
    <w:rsid w:val="00EC2856"/>
    <w:rsid w:val="00EC6D5F"/>
    <w:rsid w:val="00EE48F2"/>
    <w:rsid w:val="00EF6049"/>
    <w:rsid w:val="00F11779"/>
    <w:rsid w:val="00F13932"/>
    <w:rsid w:val="00F155CB"/>
    <w:rsid w:val="00F17423"/>
    <w:rsid w:val="00F25A8A"/>
    <w:rsid w:val="00F4014E"/>
    <w:rsid w:val="00F477D2"/>
    <w:rsid w:val="00F513A9"/>
    <w:rsid w:val="00F53CA4"/>
    <w:rsid w:val="00F60E89"/>
    <w:rsid w:val="00F6219B"/>
    <w:rsid w:val="00F6625D"/>
    <w:rsid w:val="00F70D7E"/>
    <w:rsid w:val="00F755AD"/>
    <w:rsid w:val="00F76571"/>
    <w:rsid w:val="00F77D99"/>
    <w:rsid w:val="00F87E86"/>
    <w:rsid w:val="00F90105"/>
    <w:rsid w:val="00FA1D49"/>
    <w:rsid w:val="00FB0893"/>
    <w:rsid w:val="00FC21B4"/>
    <w:rsid w:val="00FC3522"/>
    <w:rsid w:val="00FD06CC"/>
    <w:rsid w:val="00FD2C6D"/>
    <w:rsid w:val="00FD5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A53839"/>
  </w:style>
  <w:style w:type="character" w:styleId="Refdecomentrio">
    <w:name w:val="annotation reference"/>
    <w:basedOn w:val="Fontepargpadro"/>
    <w:uiPriority w:val="99"/>
    <w:semiHidden/>
    <w:unhideWhenUsed/>
    <w:rsid w:val="00A53839"/>
    <w:rPr>
      <w:sz w:val="16"/>
      <w:szCs w:val="16"/>
    </w:rPr>
  </w:style>
  <w:style w:type="paragraph" w:styleId="Textodecomentrio">
    <w:name w:val="annotation text"/>
    <w:basedOn w:val="Normal"/>
    <w:link w:val="TextodecomentrioChar"/>
    <w:uiPriority w:val="99"/>
    <w:semiHidden/>
    <w:unhideWhenUsed/>
    <w:rsid w:val="00A538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38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042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har"/>
    <w:uiPriority w:val="99"/>
    <w:qFormat/>
    <w:rsid w:val="00842FEA"/>
    <w:pPr>
      <w:widowControl w:val="0"/>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qFormat/>
    <w:rsid w:val="00842FEA"/>
    <w:pPr>
      <w:spacing w:before="240" w:after="60" w:line="240" w:lineRule="auto"/>
      <w:outlineLvl w:val="8"/>
    </w:pPr>
    <w:rPr>
      <w:rFonts w:ascii="Arial" w:eastAsia="Times New Roman" w:hAnsi="Arial" w:cs="Arial"/>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9B4469"/>
    <w:pPr>
      <w:ind w:left="720"/>
      <w:contextualSpacing/>
    </w:pPr>
  </w:style>
  <w:style w:type="paragraph" w:styleId="Textodebalo">
    <w:name w:val="Balloon Text"/>
    <w:basedOn w:val="Normal"/>
    <w:link w:val="TextodebaloChar"/>
    <w:uiPriority w:val="99"/>
    <w:semiHidden/>
    <w:unhideWhenUsed/>
    <w:rsid w:val="00947D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7DC3"/>
    <w:rPr>
      <w:rFonts w:ascii="Tahoma" w:hAnsi="Tahoma" w:cs="Tahoma"/>
      <w:sz w:val="16"/>
      <w:szCs w:val="16"/>
    </w:rPr>
  </w:style>
  <w:style w:type="paragraph" w:styleId="Corpodetexto2">
    <w:name w:val="Body Text 2"/>
    <w:basedOn w:val="Normal"/>
    <w:link w:val="Corpodetexto2Char"/>
    <w:uiPriority w:val="99"/>
    <w:rsid w:val="00876320"/>
    <w:pPr>
      <w:spacing w:after="0" w:line="240" w:lineRule="auto"/>
      <w:jc w:val="both"/>
    </w:pPr>
    <w:rPr>
      <w:rFonts w:ascii="Times New Roman" w:eastAsia="Times New Roman" w:hAnsi="Times New Roman" w:cs="Times New Roman"/>
      <w:b/>
      <w:sz w:val="20"/>
      <w:szCs w:val="20"/>
    </w:rPr>
  </w:style>
  <w:style w:type="character" w:customStyle="1" w:styleId="Corpodetexto2Char">
    <w:name w:val="Corpo de texto 2 Char"/>
    <w:basedOn w:val="Fontepargpadro"/>
    <w:link w:val="Corpodetexto2"/>
    <w:uiPriority w:val="99"/>
    <w:rsid w:val="00876320"/>
    <w:rPr>
      <w:rFonts w:ascii="Times New Roman" w:eastAsia="Times New Roman" w:hAnsi="Times New Roman" w:cs="Times New Roman"/>
      <w:b/>
      <w:sz w:val="20"/>
      <w:szCs w:val="20"/>
      <w:lang w:eastAsia="pt-BR"/>
    </w:rPr>
  </w:style>
  <w:style w:type="character" w:customStyle="1" w:styleId="apple-style-span">
    <w:name w:val="apple-style-span"/>
    <w:basedOn w:val="Fontepargpadro"/>
    <w:uiPriority w:val="99"/>
    <w:rsid w:val="00876320"/>
    <w:rPr>
      <w:rFonts w:cs="Times New Roman"/>
    </w:rPr>
  </w:style>
  <w:style w:type="character" w:customStyle="1" w:styleId="apple-converted-space">
    <w:name w:val="apple-converted-space"/>
    <w:basedOn w:val="Fontepargpadro"/>
    <w:uiPriority w:val="99"/>
    <w:rsid w:val="00876320"/>
    <w:rPr>
      <w:rFonts w:cs="Times New Roman"/>
    </w:rPr>
  </w:style>
  <w:style w:type="character" w:customStyle="1" w:styleId="Ttulo8Char">
    <w:name w:val="Título 8 Char"/>
    <w:basedOn w:val="Fontepargpadro"/>
    <w:link w:val="Ttulo8"/>
    <w:uiPriority w:val="99"/>
    <w:rsid w:val="00842FE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rsid w:val="00842FEA"/>
    <w:rPr>
      <w:rFonts w:ascii="Arial" w:eastAsia="Times New Roman" w:hAnsi="Arial" w:cs="Arial"/>
      <w:lang w:val="es-ES" w:eastAsia="pt-BR"/>
    </w:rPr>
  </w:style>
  <w:style w:type="paragraph" w:customStyle="1" w:styleId="NormalTimesNewRoman">
    <w:name w:val="Normal + Times New Roman"/>
    <w:basedOn w:val="Ttulo8"/>
    <w:uiPriority w:val="99"/>
    <w:rsid w:val="00842FEA"/>
    <w:pPr>
      <w:keepNext/>
      <w:suppressAutoHyphens/>
      <w:spacing w:before="0" w:after="0"/>
      <w:jc w:val="both"/>
    </w:pPr>
    <w:rPr>
      <w:i w:val="0"/>
      <w:iCs w:val="0"/>
      <w:szCs w:val="20"/>
    </w:rPr>
  </w:style>
  <w:style w:type="paragraph" w:customStyle="1" w:styleId="ListParagraph1">
    <w:name w:val="List Paragraph1"/>
    <w:basedOn w:val="Normal"/>
    <w:uiPriority w:val="99"/>
    <w:rsid w:val="00842FEA"/>
    <w:pPr>
      <w:widowControl w:val="0"/>
      <w:spacing w:after="0" w:line="240" w:lineRule="auto"/>
      <w:ind w:left="720"/>
      <w:contextualSpacing/>
    </w:pPr>
    <w:rPr>
      <w:rFonts w:ascii="Times New Roman" w:eastAsia="Times New Roman" w:hAnsi="Times New Roman" w:cs="Times New Roman"/>
      <w:sz w:val="20"/>
      <w:szCs w:val="20"/>
    </w:rPr>
  </w:style>
  <w:style w:type="paragraph" w:styleId="Cabealho">
    <w:name w:val="header"/>
    <w:aliases w:val="hd,he"/>
    <w:basedOn w:val="Normal"/>
    <w:link w:val="Cabealho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
    <w:basedOn w:val="Fontepargpadro"/>
    <w:link w:val="Cabealho"/>
    <w:uiPriority w:val="99"/>
    <w:rsid w:val="00AC4192"/>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C4192"/>
    <w:pPr>
      <w:widowControl w:val="0"/>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AC4192"/>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2008F"/>
    <w:rPr>
      <w:color w:val="0000FF" w:themeColor="hyperlink"/>
      <w:u w:val="single"/>
    </w:rPr>
  </w:style>
  <w:style w:type="character" w:customStyle="1" w:styleId="Ttulo1Char">
    <w:name w:val="Título 1 Char"/>
    <w:basedOn w:val="Fontepargpadro"/>
    <w:link w:val="Ttulo1"/>
    <w:uiPriority w:val="9"/>
    <w:rsid w:val="00042F67"/>
    <w:rPr>
      <w:rFonts w:asciiTheme="majorHAnsi" w:eastAsiaTheme="majorEastAsia" w:hAnsiTheme="majorHAnsi" w:cstheme="majorBidi"/>
      <w:b/>
      <w:bCs/>
      <w:color w:val="365F91" w:themeColor="accent1" w:themeShade="BF"/>
      <w:sz w:val="28"/>
      <w:szCs w:val="28"/>
    </w:rPr>
  </w:style>
  <w:style w:type="paragraph" w:customStyle="1" w:styleId="Sub-item2">
    <w:name w:val="Sub-item 2"/>
    <w:basedOn w:val="Normal"/>
    <w:next w:val="Normal"/>
    <w:uiPriority w:val="99"/>
    <w:rsid w:val="00042F67"/>
    <w:pPr>
      <w:tabs>
        <w:tab w:val="left" w:pos="1134"/>
        <w:tab w:val="left" w:pos="1418"/>
      </w:tabs>
      <w:suppressAutoHyphens/>
      <w:spacing w:before="100" w:after="0" w:line="240" w:lineRule="auto"/>
      <w:ind w:left="1429" w:hanging="360"/>
      <w:jc w:val="both"/>
    </w:pPr>
    <w:rPr>
      <w:rFonts w:ascii="Verdana" w:eastAsia="Times New Roman" w:hAnsi="Verdana" w:cs="Times New Roman"/>
      <w:sz w:val="16"/>
    </w:rPr>
  </w:style>
  <w:style w:type="paragraph" w:styleId="Citao">
    <w:name w:val="Quote"/>
    <w:basedOn w:val="Normal"/>
    <w:next w:val="Normal"/>
    <w:link w:val="CitaoChar"/>
    <w:uiPriority w:val="99"/>
    <w:qFormat/>
    <w:rsid w:val="00B9147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B91470"/>
    <w:rPr>
      <w:rFonts w:ascii="Ecofont_Spranq_eco_Sans" w:eastAsia="Calibri" w:hAnsi="Ecofont_Spranq_eco_Sans" w:cs="Tahoma"/>
      <w:i/>
      <w:iCs/>
      <w:color w:val="000000"/>
      <w:sz w:val="20"/>
      <w:szCs w:val="24"/>
      <w:shd w:val="clear" w:color="auto" w:fill="FFFFCC"/>
    </w:rPr>
  </w:style>
  <w:style w:type="paragraph" w:customStyle="1" w:styleId="Padro">
    <w:name w:val="Padrão"/>
    <w:rsid w:val="00DB3866"/>
    <w:pPr>
      <w:tabs>
        <w:tab w:val="left" w:pos="708"/>
      </w:tabs>
      <w:suppressAutoHyphens/>
    </w:pPr>
    <w:rPr>
      <w:rFonts w:ascii="Calibri" w:eastAsia="DejaVu Sans" w:hAnsi="Calibri" w:cs="Calibri"/>
      <w:lang w:eastAsia="en-US"/>
    </w:rPr>
  </w:style>
  <w:style w:type="paragraph" w:customStyle="1" w:styleId="textoprincipalcombulletsTextosfichas">
    <w:name w:val="texto principal com bullets (Textos fichas)"/>
    <w:basedOn w:val="Normal"/>
    <w:uiPriority w:val="99"/>
    <w:rsid w:val="00176B0D"/>
    <w:pPr>
      <w:keepLines/>
      <w:tabs>
        <w:tab w:val="left" w:pos="113"/>
        <w:tab w:val="left" w:pos="624"/>
      </w:tabs>
      <w:autoSpaceDE w:val="0"/>
      <w:autoSpaceDN w:val="0"/>
      <w:adjustRightInd w:val="0"/>
      <w:spacing w:after="0" w:line="228" w:lineRule="atLeast"/>
      <w:textAlignment w:val="center"/>
    </w:pPr>
    <w:rPr>
      <w:rFonts w:ascii="Conduit ITC Light" w:eastAsiaTheme="minorHAnsi" w:hAnsi="Conduit ITC Light" w:cs="Conduit ITC Light"/>
      <w:color w:val="000000"/>
      <w:sz w:val="19"/>
      <w:szCs w:val="19"/>
      <w:lang w:eastAsia="en-US"/>
    </w:rPr>
  </w:style>
  <w:style w:type="character" w:customStyle="1" w:styleId="PargrafodaListaChar">
    <w:name w:val="Parágrafo da Lista Char"/>
    <w:basedOn w:val="Fontepargpadro"/>
    <w:link w:val="PargrafodaLista"/>
    <w:uiPriority w:val="99"/>
    <w:locked/>
    <w:rsid w:val="00A53839"/>
  </w:style>
  <w:style w:type="character" w:styleId="Refdecomentrio">
    <w:name w:val="annotation reference"/>
    <w:basedOn w:val="Fontepargpadro"/>
    <w:uiPriority w:val="99"/>
    <w:semiHidden/>
    <w:unhideWhenUsed/>
    <w:rsid w:val="00A53839"/>
    <w:rPr>
      <w:sz w:val="16"/>
      <w:szCs w:val="16"/>
    </w:rPr>
  </w:style>
  <w:style w:type="paragraph" w:styleId="Textodecomentrio">
    <w:name w:val="annotation text"/>
    <w:basedOn w:val="Normal"/>
    <w:link w:val="TextodecomentrioChar"/>
    <w:uiPriority w:val="99"/>
    <w:semiHidden/>
    <w:unhideWhenUsed/>
    <w:rsid w:val="00A538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38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753">
      <w:bodyDiv w:val="1"/>
      <w:marLeft w:val="0"/>
      <w:marRight w:val="0"/>
      <w:marTop w:val="0"/>
      <w:marBottom w:val="0"/>
      <w:divBdr>
        <w:top w:val="none" w:sz="0" w:space="0" w:color="auto"/>
        <w:left w:val="none" w:sz="0" w:space="0" w:color="auto"/>
        <w:bottom w:val="none" w:sz="0" w:space="0" w:color="auto"/>
        <w:right w:val="none" w:sz="0" w:space="0" w:color="auto"/>
      </w:divBdr>
    </w:div>
    <w:div w:id="1049457913">
      <w:bodyDiv w:val="1"/>
      <w:marLeft w:val="0"/>
      <w:marRight w:val="0"/>
      <w:marTop w:val="0"/>
      <w:marBottom w:val="0"/>
      <w:divBdr>
        <w:top w:val="none" w:sz="0" w:space="0" w:color="auto"/>
        <w:left w:val="none" w:sz="0" w:space="0" w:color="auto"/>
        <w:bottom w:val="none" w:sz="0" w:space="0" w:color="auto"/>
        <w:right w:val="none" w:sz="0" w:space="0" w:color="auto"/>
      </w:divBdr>
    </w:div>
    <w:div w:id="1283927159">
      <w:bodyDiv w:val="1"/>
      <w:marLeft w:val="0"/>
      <w:marRight w:val="0"/>
      <w:marTop w:val="0"/>
      <w:marBottom w:val="0"/>
      <w:divBdr>
        <w:top w:val="none" w:sz="0" w:space="0" w:color="auto"/>
        <w:left w:val="none" w:sz="0" w:space="0" w:color="auto"/>
        <w:bottom w:val="none" w:sz="0" w:space="0" w:color="auto"/>
        <w:right w:val="none" w:sz="0" w:space="0" w:color="auto"/>
      </w:divBdr>
    </w:div>
    <w:div w:id="130581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1728</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Fundo Nacional de Desenvolvimento da Educação - FNDE</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nelle</dc:creator>
  <cp:lastModifiedBy>THAINA CAROLINE BARBOSA PEREIRA</cp:lastModifiedBy>
  <cp:revision>5</cp:revision>
  <cp:lastPrinted>2012-10-30T17:31:00Z</cp:lastPrinted>
  <dcterms:created xsi:type="dcterms:W3CDTF">2015-01-09T12:26:00Z</dcterms:created>
  <dcterms:modified xsi:type="dcterms:W3CDTF">2015-01-09T17:24:00Z</dcterms:modified>
</cp:coreProperties>
</file>