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4908" w14:textId="6E2AA9CB" w:rsidR="005A3309" w:rsidRPr="00DB7F7D" w:rsidRDefault="00547D35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F7D">
        <w:rPr>
          <w:rFonts w:ascii="Times New Roman" w:hAnsi="Times New Roman" w:cs="Times New Roman"/>
          <w:b/>
        </w:rPr>
        <w:t xml:space="preserve">SOLICITAÇÃO Nº </w:t>
      </w:r>
      <w:r w:rsidR="00CA35D4" w:rsidRPr="00DB7F7D">
        <w:rPr>
          <w:rFonts w:ascii="Times New Roman" w:hAnsi="Times New Roman" w:cs="Times New Roman"/>
          <w:b/>
        </w:rPr>
        <w:t>4</w:t>
      </w:r>
      <w:r w:rsidRPr="00DB7F7D">
        <w:rPr>
          <w:rFonts w:ascii="Times New Roman" w:hAnsi="Times New Roman" w:cs="Times New Roman"/>
          <w:b/>
        </w:rPr>
        <w:t>0/2024</w:t>
      </w:r>
    </w:p>
    <w:p w14:paraId="20C05DDB" w14:textId="3454B6CE" w:rsidR="00507862" w:rsidRPr="00DB7F7D" w:rsidRDefault="00467A2C" w:rsidP="0050786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7F7D">
        <w:rPr>
          <w:rFonts w:ascii="Times New Roman" w:hAnsi="Times New Roman" w:cs="Times New Roman"/>
          <w:b/>
        </w:rPr>
        <w:t>Secretária de Administração, Finanças e Planejamento</w:t>
      </w:r>
    </w:p>
    <w:p w14:paraId="59E6B929" w14:textId="77777777" w:rsidR="005A3309" w:rsidRPr="00DB7F7D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93D6F9" w14:textId="4EF00933" w:rsidR="005A3309" w:rsidRPr="00DB7F7D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DB7F7D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554"/>
        <w:gridCol w:w="9653"/>
      </w:tblGrid>
      <w:tr w:rsidR="001D4741" w:rsidRPr="00DB7F7D" w14:paraId="2B6BD00C" w14:textId="77777777" w:rsidTr="007C6C3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16B" w14:textId="77777777" w:rsidR="001D4741" w:rsidRPr="00DB7F7D" w:rsidRDefault="001D4741" w:rsidP="005E71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B7F7D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DB7F7D" w14:paraId="442EEDE3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EAB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CCE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público.</w:t>
            </w:r>
          </w:p>
          <w:p w14:paraId="365BE2ED" w14:textId="4FE127FB" w:rsidR="000C3696" w:rsidRPr="00DB7F7D" w:rsidRDefault="000C3696" w:rsidP="00056ED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O município de Palmitos possui frota própria de veículos e máquinas para o atendimento de demandas de transporte de pessoal, alunos, pacientes, materiais, atividades de movimentação de terra, manutenção de estradas, entre outros. Essas máquinas e veículos são utilizadas diariamente nas atividades desenvolvidas pela municipalidade e para continuidade destes trabalhos sem interrupção é preciso o fornecimento de combustível para que estes se locomovam e desenvolvam suas atividades</w:t>
            </w:r>
          </w:p>
          <w:p w14:paraId="042139FB" w14:textId="6B1CBAEC" w:rsidR="00056ED5" w:rsidRPr="00DB7F7D" w:rsidRDefault="00056ED5" w:rsidP="00056ED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As diversas Secretarias utilizam diariamente dos veículos constantes da frota própria para realizar tanto as atividades administrativas, bem como as ações sociais voltadas a população </w:t>
            </w:r>
            <w:r w:rsidR="008A6798" w:rsidRPr="00DB7F7D">
              <w:rPr>
                <w:rFonts w:ascii="Times New Roman" w:hAnsi="Times New Roman" w:cs="Times New Roman"/>
              </w:rPr>
              <w:t>palmitense</w:t>
            </w:r>
            <w:r w:rsidRPr="00DB7F7D">
              <w:rPr>
                <w:rFonts w:ascii="Times New Roman" w:hAnsi="Times New Roman" w:cs="Times New Roman"/>
              </w:rPr>
              <w:t xml:space="preserve">. </w:t>
            </w:r>
          </w:p>
          <w:p w14:paraId="14B022AC" w14:textId="51E86993" w:rsidR="005A3309" w:rsidRPr="00DB7F7D" w:rsidRDefault="00056ED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A justificativa da contratação de posto de combustível </w:t>
            </w:r>
            <w:r w:rsidR="009F0F86" w:rsidRPr="00DB7F7D">
              <w:rPr>
                <w:rFonts w:ascii="Times New Roman" w:hAnsi="Times New Roman" w:cs="Times New Roman"/>
              </w:rPr>
              <w:t>no perímetro urbano do município de</w:t>
            </w:r>
            <w:r w:rsidRPr="00DB7F7D">
              <w:rPr>
                <w:rFonts w:ascii="Times New Roman" w:hAnsi="Times New Roman" w:cs="Times New Roman"/>
              </w:rPr>
              <w:t xml:space="preserve"> </w:t>
            </w:r>
            <w:r w:rsidR="009F0F86" w:rsidRPr="00DB7F7D">
              <w:rPr>
                <w:rFonts w:ascii="Times New Roman" w:hAnsi="Times New Roman" w:cs="Times New Roman"/>
              </w:rPr>
              <w:t>Palmitos</w:t>
            </w:r>
            <w:r w:rsidRPr="00DB7F7D">
              <w:rPr>
                <w:rFonts w:ascii="Times New Roman" w:hAnsi="Times New Roman" w:cs="Times New Roman"/>
              </w:rPr>
              <w:t xml:space="preserve"> é para evitar grandes deslocamentos para abastecimento o que causaria um prejuízo para Administração Pública, pois os veículos teriam que sair de </w:t>
            </w:r>
            <w:r w:rsidR="008A6798" w:rsidRPr="00DB7F7D">
              <w:rPr>
                <w:rFonts w:ascii="Times New Roman" w:hAnsi="Times New Roman" w:cs="Times New Roman"/>
              </w:rPr>
              <w:t>Palmitos</w:t>
            </w:r>
            <w:r w:rsidRPr="00DB7F7D">
              <w:rPr>
                <w:rFonts w:ascii="Times New Roman" w:hAnsi="Times New Roman" w:cs="Times New Roman"/>
              </w:rPr>
              <w:t xml:space="preserve"> para abastecer em cidades distantes o que não é econômico para o município </w:t>
            </w:r>
          </w:p>
        </w:tc>
      </w:tr>
      <w:tr w:rsidR="00C55E6F" w:rsidRPr="00DB7F7D" w14:paraId="52D7743D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727" w14:textId="77777777" w:rsidR="00C55E6F" w:rsidRPr="00DB7F7D" w:rsidRDefault="00C55E6F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FD4" w14:textId="77777777" w:rsidR="00C55E6F" w:rsidRPr="00DB7F7D" w:rsidRDefault="00C55E6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 xml:space="preserve">Demonstração da previsão da contratação no plano de contratações anual, sempre que elaborado, de modo a indicar o seu alinhamento com o planejamento da administração. </w:t>
            </w:r>
          </w:p>
          <w:p w14:paraId="0EF11C4D" w14:textId="5D38CF6C" w:rsidR="00C55E6F" w:rsidRPr="00DB7F7D" w:rsidRDefault="00C55E6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</w:rPr>
              <w:t>O município de Palmitos ainda não possui Plano de Contratações Anual.</w:t>
            </w:r>
          </w:p>
        </w:tc>
      </w:tr>
      <w:tr w:rsidR="005A3309" w:rsidRPr="00DB7F7D" w14:paraId="6E030348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94B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530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40B8E94" w14:textId="77777777" w:rsidR="00B0203F" w:rsidRPr="00DB7F7D" w:rsidRDefault="00B0203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Registro na Agência Nacional de Petróleo. </w:t>
            </w:r>
          </w:p>
          <w:p w14:paraId="6ADB7E81" w14:textId="7124C276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Fornecer todos os itens solicitados.</w:t>
            </w:r>
          </w:p>
          <w:p w14:paraId="01910318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Atender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às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solicitações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prazos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estipulados.</w:t>
            </w:r>
          </w:p>
          <w:p w14:paraId="3330564F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Responder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por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todos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ônus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referentes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fornecimento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ora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contratado,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tais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fretes,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impostos,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seguros,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encargos trabalhistas, previdenciários, fiscais e comerciais, decorrentes do objeto e apresentar os respectivos</w:t>
            </w:r>
            <w:r w:rsidRPr="00DB7F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comprovantes,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quando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solicitados.</w:t>
            </w:r>
          </w:p>
          <w:p w14:paraId="606BDD14" w14:textId="111B90C5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Presta o serviço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durante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horário de </w:t>
            </w:r>
            <w:r w:rsidRPr="00DB7F7D">
              <w:rPr>
                <w:rFonts w:ascii="Times New Roman" w:hAnsi="Times New Roman" w:cs="Times New Roman"/>
              </w:rPr>
              <w:t>expediente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em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horários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alternativos,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DB7F7D">
              <w:rPr>
                <w:rFonts w:ascii="Times New Roman" w:hAnsi="Times New Roman" w:cs="Times New Roman"/>
              </w:rPr>
              <w:t>previamente</w:t>
            </w:r>
            <w:r w:rsidR="00E80E5A" w:rsidRPr="00DB7F7D">
              <w:rPr>
                <w:rFonts w:ascii="Times New Roman" w:hAnsi="Times New Roman" w:cs="Times New Roman"/>
              </w:rPr>
              <w:t xml:space="preserve"> 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acordado</w:t>
            </w:r>
            <w:proofErr w:type="gramEnd"/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 secretaria/departamento solicitante.</w:t>
            </w:r>
          </w:p>
          <w:p w14:paraId="250D3F71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Reparar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indenizar,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dentro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prazo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estipulado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pela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autoridade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competente,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todas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quaisquer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avarias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danos causados aos bens do contratante, ou de terceiros, decorrentes de ação ou omissão de seus empregados e</w:t>
            </w:r>
            <w:r w:rsidRPr="00DB7F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fornecedores.</w:t>
            </w:r>
          </w:p>
          <w:p w14:paraId="084794E4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Providenciar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para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seus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empregados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cumpram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normas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internas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relativas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à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segurança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contratante.</w:t>
            </w:r>
          </w:p>
          <w:p w14:paraId="3D27A334" w14:textId="5A7FA675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Manter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durante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todo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período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vigência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contrato,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todas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condições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ensejaram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sua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habilitação</w:t>
            </w:r>
            <w:r w:rsidR="009F0F86" w:rsidRPr="00DB7F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7F7D">
              <w:rPr>
                <w:rFonts w:ascii="Times New Roman" w:hAnsi="Times New Roman" w:cs="Times New Roman"/>
              </w:rPr>
              <w:t xml:space="preserve">na 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licitação</w:t>
            </w:r>
            <w:proofErr w:type="gramEnd"/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contratação.</w:t>
            </w:r>
          </w:p>
          <w:p w14:paraId="34ACDA75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Não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subcontratar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transferir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outrem,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todo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em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parte,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objeto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da</w:t>
            </w:r>
            <w:r w:rsidRPr="00DB7F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contratação, sem prévia anuência do Contratante. Caso ocorra a subcontratação, mesmo que autorizada pelo</w:t>
            </w:r>
            <w:r w:rsidRPr="00DB7F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Contratante,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este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não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responsabilizará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por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qualquer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obrigação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ou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encargo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subcontratado.</w:t>
            </w:r>
          </w:p>
          <w:p w14:paraId="664588CD" w14:textId="77777777" w:rsidR="00C55E6F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Cumprir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objeto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estritamente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acordo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normas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que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regulamentam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objeto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da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contratação.</w:t>
            </w:r>
          </w:p>
          <w:p w14:paraId="4807CAFC" w14:textId="1A588EF1" w:rsidR="000F5BD7" w:rsidRPr="00DB7F7D" w:rsidRDefault="00C55E6F" w:rsidP="005E711F">
            <w:pPr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Além da documentação exigida, a registrada poderá ser vistoriada a qualquer tempo, pela equipe designada pela administração municipal, a qual analisará e avaliará a documentação e realizará vistoria.</w:t>
            </w:r>
          </w:p>
        </w:tc>
      </w:tr>
      <w:tr w:rsidR="00443FA4" w:rsidRPr="00DB7F7D" w14:paraId="04F82FFB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4B8" w14:textId="77777777" w:rsidR="00443FA4" w:rsidRPr="00DB7F7D" w:rsidRDefault="00443FA4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054" w14:textId="77777777" w:rsidR="00443FA4" w:rsidRPr="00DB7F7D" w:rsidRDefault="00443FA4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40FA0FD4" w14:textId="77777777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Solução 1 – Contratação dos serviços continuados de gerenciamento e administração da frota de veículos, através da implantação e/ou operacionalização de sistema informatizado, disponibilizado em rede de postos de combustíveis credenciados com pagamento de taxa de administração. </w:t>
            </w:r>
          </w:p>
          <w:p w14:paraId="6A71050D" w14:textId="77777777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Solução 2 - contratação de empresa para fornecimento de combustíveis junto a postos de combustíveis, sob demanda. </w:t>
            </w:r>
          </w:p>
          <w:p w14:paraId="61D93C3B" w14:textId="77777777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Solução 3 - contratação de empresa para fornecimento de combustíveis a granel, que seriam armazenados em tanques de propriedade do município. </w:t>
            </w:r>
          </w:p>
          <w:p w14:paraId="12CA7AD9" w14:textId="77777777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Baseados nos dados levantados na pesquisa, a solução 2 (dois) que é a forma atual que o município utiliza para a aquisição de combustíveis, mostrou-se a mais vantajosa, já que é amplamente difundida na administração, oferece maior agilidade na implantação, transparência e economicidade tendo em vista que as aquisições acontecem por demanda. </w:t>
            </w:r>
          </w:p>
          <w:p w14:paraId="734C5118" w14:textId="77777777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A solução 1 já é uma prática usual nas contratações públicas, mas o município de Palmitos ainda não possui estrutura humana para gerenciar este tipo de contratação, sua aplicação demoraria algum tempo para acontecer e o maior consumo de combustível acontece dentro do território municipal. </w:t>
            </w:r>
          </w:p>
          <w:p w14:paraId="4D8714F5" w14:textId="7CD78668" w:rsidR="001E0F90" w:rsidRPr="00DB7F7D" w:rsidRDefault="001E0F9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lastRenderedPageBreak/>
              <w:t>A solução 3 se mostra inviável já que o munícipio não possui os tanques para o armazenamento, este seria um investimento alto e sua implantação seria demorada, já que há vários requisitos ambientais e legais para realizar a instalação destes tanques e operacionaliza-los.</w:t>
            </w:r>
          </w:p>
          <w:p w14:paraId="1DEF6B68" w14:textId="6F4F3A93" w:rsidR="00443FA4" w:rsidRPr="00DB7F7D" w:rsidRDefault="00443FA4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eastAsia="Times New Roman" w:hAnsi="Times New Roman" w:cs="Times New Roman"/>
                <w:lang w:eastAsia="pt-BR"/>
              </w:rPr>
              <w:t>Para a contratação em tela, verificou-se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Salienta-se ainda que esta é a forma atual adotada, atendendo perfeitamente as necessidades da administração.</w:t>
            </w:r>
          </w:p>
        </w:tc>
      </w:tr>
      <w:tr w:rsidR="005A3309" w:rsidRPr="00DB7F7D" w14:paraId="297A5358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3EA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B11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79861FAE" w14:textId="1F3B0ED7" w:rsidR="005A3309" w:rsidRPr="00DB7F7D" w:rsidRDefault="008A6798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Os quantitativos foram extraídos do levantamento das contratações realizadas </w:t>
            </w:r>
            <w:r w:rsidR="00675F7B" w:rsidRPr="00DB7F7D">
              <w:rPr>
                <w:rFonts w:ascii="Times New Roman" w:hAnsi="Times New Roman" w:cs="Times New Roman"/>
              </w:rPr>
              <w:t xml:space="preserve">em anos </w:t>
            </w:r>
            <w:r w:rsidR="00CE61AC" w:rsidRPr="00DB7F7D">
              <w:rPr>
                <w:rFonts w:ascii="Times New Roman" w:hAnsi="Times New Roman" w:cs="Times New Roman"/>
              </w:rPr>
              <w:t>anteriores</w:t>
            </w:r>
            <w:r w:rsidR="00675F7B" w:rsidRPr="00DB7F7D">
              <w:rPr>
                <w:rFonts w:ascii="Times New Roman" w:hAnsi="Times New Roman" w:cs="Times New Roman"/>
              </w:rPr>
              <w:t>, sendo os processos o 110/</w:t>
            </w:r>
            <w:r w:rsidRPr="00DB7F7D">
              <w:rPr>
                <w:rFonts w:ascii="Times New Roman" w:hAnsi="Times New Roman" w:cs="Times New Roman"/>
              </w:rPr>
              <w:t xml:space="preserve">2023 e </w:t>
            </w:r>
            <w:r w:rsidR="00675F7B" w:rsidRPr="00DB7F7D">
              <w:rPr>
                <w:rFonts w:ascii="Times New Roman" w:hAnsi="Times New Roman" w:cs="Times New Roman"/>
              </w:rPr>
              <w:t>109/</w:t>
            </w:r>
            <w:r w:rsidRPr="00DB7F7D">
              <w:rPr>
                <w:rFonts w:ascii="Times New Roman" w:hAnsi="Times New Roman" w:cs="Times New Roman"/>
              </w:rPr>
              <w:t>2022. Visando aumentar a escala da contratação e otimizar os recursos públicos, foi centralizada toda a demanda das secretarias em uma única contratação e os quantitativos descriminados são para uma demanda de 12 (doze) meses</w:t>
            </w:r>
            <w:r w:rsidR="00615C24" w:rsidRPr="00DB7F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309" w:rsidRPr="00DB7F7D" w14:paraId="4CFD1939" w14:textId="77777777" w:rsidTr="00056810">
        <w:trPr>
          <w:trHeight w:val="4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A2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254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63150A03" w14:textId="77777777" w:rsidR="00B8289D" w:rsidRPr="00DB7F7D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pesquisas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preços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em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diversos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fornecedores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foram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necessárias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para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cálculo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da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média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preços, através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coletas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mercado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local (em anexo),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 xml:space="preserve">que será </w:t>
            </w:r>
            <w:r w:rsidRPr="00DB7F7D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DB7F7D">
              <w:rPr>
                <w:rFonts w:ascii="Times New Roman" w:hAnsi="Times New Roman" w:cs="Times New Roman"/>
              </w:rPr>
              <w:t>utilizada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preço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referencial.</w:t>
            </w:r>
          </w:p>
          <w:p w14:paraId="392E0D5A" w14:textId="77777777" w:rsidR="00B8289D" w:rsidRPr="00DB7F7D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valor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estimado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objeto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demonstrado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nos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autos,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é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acordo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com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a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pesquisa</w:t>
            </w:r>
            <w:r w:rsidRPr="00DB7F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de</w:t>
            </w:r>
            <w:r w:rsidRPr="00DB7F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7F7D">
              <w:rPr>
                <w:rFonts w:ascii="Times New Roman" w:hAnsi="Times New Roman" w:cs="Times New Roman"/>
              </w:rPr>
              <w:t>mercado.</w:t>
            </w:r>
          </w:p>
          <w:p w14:paraId="3AED41C7" w14:textId="36C2FDA1" w:rsidR="00555C9D" w:rsidRPr="00DB7F7D" w:rsidRDefault="00B828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mediana de preços</w:t>
            </w:r>
            <w:r w:rsidR="00555C9D" w:rsidRPr="00DB7F7D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Tabelacomgrade"/>
              <w:tblW w:w="9427" w:type="dxa"/>
              <w:tblLook w:val="04A0" w:firstRow="1" w:lastRow="0" w:firstColumn="1" w:lastColumn="0" w:noHBand="0" w:noVBand="1"/>
            </w:tblPr>
            <w:tblGrid>
              <w:gridCol w:w="658"/>
              <w:gridCol w:w="1767"/>
              <w:gridCol w:w="808"/>
              <w:gridCol w:w="944"/>
              <w:gridCol w:w="1012"/>
              <w:gridCol w:w="949"/>
              <w:gridCol w:w="1156"/>
              <w:gridCol w:w="1072"/>
              <w:gridCol w:w="1061"/>
            </w:tblGrid>
            <w:tr w:rsidR="00056810" w:rsidRPr="00DB7F7D" w14:paraId="6D019717" w14:textId="0F430BD6" w:rsidTr="00056810">
              <w:tc>
                <w:tcPr>
                  <w:tcW w:w="657" w:type="dxa"/>
                </w:tcPr>
                <w:p w14:paraId="296C7788" w14:textId="15C967F8" w:rsidR="00056810" w:rsidRPr="00DB7F7D" w:rsidRDefault="00056810" w:rsidP="001E62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1842" w:type="dxa"/>
                </w:tcPr>
                <w:p w14:paraId="41325A72" w14:textId="6AA65A8D" w:rsidR="00056810" w:rsidRPr="00DB7F7D" w:rsidRDefault="00056810" w:rsidP="005E711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Descrição do Material</w:t>
                  </w:r>
                </w:p>
              </w:tc>
              <w:tc>
                <w:tcPr>
                  <w:tcW w:w="820" w:type="dxa"/>
                </w:tcPr>
                <w:p w14:paraId="40924D44" w14:textId="77E6B2BA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Un. Med</w:t>
                  </w:r>
                </w:p>
              </w:tc>
              <w:tc>
                <w:tcPr>
                  <w:tcW w:w="1001" w:type="dxa"/>
                </w:tcPr>
                <w:p w14:paraId="47AAF169" w14:textId="70D8A5FC" w:rsidR="00056810" w:rsidRPr="00DB7F7D" w:rsidRDefault="00056810" w:rsidP="000568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Max Sul</w:t>
                  </w:r>
                </w:p>
              </w:tc>
              <w:tc>
                <w:tcPr>
                  <w:tcW w:w="1038" w:type="dxa"/>
                </w:tcPr>
                <w:p w14:paraId="03FC1C78" w14:textId="51AF10D8" w:rsidR="00056810" w:rsidRPr="00DB7F7D" w:rsidRDefault="00056810" w:rsidP="000568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Cooper A1</w:t>
                  </w:r>
                </w:p>
              </w:tc>
              <w:tc>
                <w:tcPr>
                  <w:tcW w:w="1010" w:type="dxa"/>
                </w:tcPr>
                <w:p w14:paraId="63906A8E" w14:textId="3F651A7A" w:rsidR="00056810" w:rsidRPr="00DB7F7D" w:rsidRDefault="00056810" w:rsidP="000568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Tio Tito</w:t>
                  </w:r>
                </w:p>
              </w:tc>
              <w:tc>
                <w:tcPr>
                  <w:tcW w:w="1190" w:type="dxa"/>
                </w:tcPr>
                <w:p w14:paraId="3654C598" w14:textId="5986838C" w:rsidR="00056810" w:rsidRPr="00DB7F7D" w:rsidRDefault="00056810" w:rsidP="000568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Avenida</w:t>
                  </w:r>
                </w:p>
              </w:tc>
              <w:tc>
                <w:tcPr>
                  <w:tcW w:w="806" w:type="dxa"/>
                </w:tcPr>
                <w:p w14:paraId="601927CF" w14:textId="714A6CC4" w:rsidR="00056810" w:rsidRPr="00DB7F7D" w:rsidRDefault="00056810" w:rsidP="0005681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B7F7D">
                    <w:rPr>
                      <w:rFonts w:ascii="Times New Roman" w:hAnsi="Times New Roman" w:cs="Times New Roman"/>
                      <w:bCs/>
                    </w:rPr>
                    <w:t>Diamante</w:t>
                  </w:r>
                </w:p>
              </w:tc>
              <w:tc>
                <w:tcPr>
                  <w:tcW w:w="1063" w:type="dxa"/>
                </w:tcPr>
                <w:p w14:paraId="5374EE8F" w14:textId="730D4B92" w:rsidR="00056810" w:rsidRPr="00DB7F7D" w:rsidRDefault="00056810" w:rsidP="001E62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Mediana</w:t>
                  </w:r>
                </w:p>
                <w:p w14:paraId="1A29CAAA" w14:textId="7C3A42B2" w:rsidR="00056810" w:rsidRPr="00DB7F7D" w:rsidRDefault="00056810" w:rsidP="001E62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R$</w:t>
                  </w:r>
                </w:p>
              </w:tc>
            </w:tr>
            <w:tr w:rsidR="00056810" w:rsidRPr="00DB7F7D" w14:paraId="6C452F6D" w14:textId="50509EE5" w:rsidTr="00056810">
              <w:tc>
                <w:tcPr>
                  <w:tcW w:w="657" w:type="dxa"/>
                </w:tcPr>
                <w:p w14:paraId="6BB571E6" w14:textId="0AECBBAD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842" w:type="dxa"/>
                </w:tcPr>
                <w:p w14:paraId="2ADF879B" w14:textId="7A0A9E2B" w:rsidR="00056810" w:rsidRPr="00DB7F7D" w:rsidRDefault="00056810" w:rsidP="004C600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Comum</w:t>
                  </w:r>
                </w:p>
              </w:tc>
              <w:tc>
                <w:tcPr>
                  <w:tcW w:w="820" w:type="dxa"/>
                </w:tcPr>
                <w:p w14:paraId="28B6143F" w14:textId="0B62746F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eastAsia="Arial Unicode MS" w:hAnsi="Times New Roman" w:cs="Times New Roman"/>
                    </w:rPr>
                    <w:t>Litros</w:t>
                  </w:r>
                </w:p>
              </w:tc>
              <w:tc>
                <w:tcPr>
                  <w:tcW w:w="1001" w:type="dxa"/>
                </w:tcPr>
                <w:p w14:paraId="6C338907" w14:textId="39EEFE0E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5,79</w:t>
                  </w:r>
                </w:p>
              </w:tc>
              <w:tc>
                <w:tcPr>
                  <w:tcW w:w="1038" w:type="dxa"/>
                </w:tcPr>
                <w:p w14:paraId="101CD113" w14:textId="08B1CE20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6,08</w:t>
                  </w:r>
                </w:p>
              </w:tc>
              <w:tc>
                <w:tcPr>
                  <w:tcW w:w="1010" w:type="dxa"/>
                </w:tcPr>
                <w:p w14:paraId="34477144" w14:textId="38275F14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5,91</w:t>
                  </w:r>
                </w:p>
              </w:tc>
              <w:tc>
                <w:tcPr>
                  <w:tcW w:w="1190" w:type="dxa"/>
                </w:tcPr>
                <w:p w14:paraId="33D115E5" w14:textId="5EB25748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</w:tcPr>
                <w:p w14:paraId="1C666A83" w14:textId="4152C208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5,89</w:t>
                  </w:r>
                </w:p>
              </w:tc>
              <w:tc>
                <w:tcPr>
                  <w:tcW w:w="1063" w:type="dxa"/>
                </w:tcPr>
                <w:p w14:paraId="3FEC8771" w14:textId="597FE9DD" w:rsidR="00056810" w:rsidRPr="00DB7F7D" w:rsidRDefault="00CF004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5,91</w:t>
                  </w:r>
                </w:p>
              </w:tc>
            </w:tr>
            <w:tr w:rsidR="00056810" w:rsidRPr="00DB7F7D" w14:paraId="5A752939" w14:textId="77777777" w:rsidTr="00056810">
              <w:tc>
                <w:tcPr>
                  <w:tcW w:w="657" w:type="dxa"/>
                </w:tcPr>
                <w:p w14:paraId="4FDDBCDE" w14:textId="66AA377B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842" w:type="dxa"/>
                </w:tcPr>
                <w:p w14:paraId="08A370C9" w14:textId="0462CB77" w:rsidR="00056810" w:rsidRPr="00DB7F7D" w:rsidRDefault="00056810" w:rsidP="004C600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Gasolina Comum</w:t>
                  </w:r>
                </w:p>
              </w:tc>
              <w:tc>
                <w:tcPr>
                  <w:tcW w:w="820" w:type="dxa"/>
                </w:tcPr>
                <w:p w14:paraId="012A8439" w14:textId="5B198EA1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eastAsia="Arial Unicode MS" w:hAnsi="Times New Roman" w:cs="Times New Roman"/>
                    </w:rPr>
                    <w:t>Litros</w:t>
                  </w:r>
                </w:p>
              </w:tc>
              <w:tc>
                <w:tcPr>
                  <w:tcW w:w="1001" w:type="dxa"/>
                </w:tcPr>
                <w:p w14:paraId="571F30D5" w14:textId="67A00680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5,89</w:t>
                  </w:r>
                </w:p>
              </w:tc>
              <w:tc>
                <w:tcPr>
                  <w:tcW w:w="1038" w:type="dxa"/>
                </w:tcPr>
                <w:p w14:paraId="62A14913" w14:textId="28BB5631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6,15</w:t>
                  </w:r>
                </w:p>
              </w:tc>
              <w:tc>
                <w:tcPr>
                  <w:tcW w:w="1010" w:type="dxa"/>
                </w:tcPr>
                <w:p w14:paraId="607D4035" w14:textId="3B251633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  <w:tc>
                <w:tcPr>
                  <w:tcW w:w="1190" w:type="dxa"/>
                </w:tcPr>
                <w:p w14:paraId="40151715" w14:textId="4A766940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5,98</w:t>
                  </w:r>
                </w:p>
              </w:tc>
              <w:tc>
                <w:tcPr>
                  <w:tcW w:w="806" w:type="dxa"/>
                </w:tcPr>
                <w:p w14:paraId="45058B95" w14:textId="6F8FC414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  <w:tc>
                <w:tcPr>
                  <w:tcW w:w="1063" w:type="dxa"/>
                </w:tcPr>
                <w:p w14:paraId="042354B4" w14:textId="7AC65CB0" w:rsidR="00056810" w:rsidRPr="00DB7F7D" w:rsidRDefault="00CF004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</w:tr>
            <w:tr w:rsidR="00056810" w:rsidRPr="00DB7F7D" w14:paraId="0E3F0688" w14:textId="77777777" w:rsidTr="00056810">
              <w:tc>
                <w:tcPr>
                  <w:tcW w:w="657" w:type="dxa"/>
                </w:tcPr>
                <w:p w14:paraId="44A99898" w14:textId="69E1382D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1842" w:type="dxa"/>
                </w:tcPr>
                <w:p w14:paraId="394FD90F" w14:textId="5D2440D0" w:rsidR="00056810" w:rsidRPr="00DB7F7D" w:rsidRDefault="00056810" w:rsidP="004C600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S10</w:t>
                  </w:r>
                </w:p>
              </w:tc>
              <w:tc>
                <w:tcPr>
                  <w:tcW w:w="820" w:type="dxa"/>
                </w:tcPr>
                <w:p w14:paraId="4746E61F" w14:textId="7E819B30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eastAsia="Arial Unicode MS" w:hAnsi="Times New Roman" w:cs="Times New Roman"/>
                    </w:rPr>
                    <w:t>Litros</w:t>
                  </w:r>
                </w:p>
              </w:tc>
              <w:tc>
                <w:tcPr>
                  <w:tcW w:w="1001" w:type="dxa"/>
                </w:tcPr>
                <w:p w14:paraId="05F70CA8" w14:textId="5FC54ACD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5,89</w:t>
                  </w:r>
                </w:p>
              </w:tc>
              <w:tc>
                <w:tcPr>
                  <w:tcW w:w="1038" w:type="dxa"/>
                </w:tcPr>
                <w:p w14:paraId="71AD30E4" w14:textId="3C41F988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6,14</w:t>
                  </w:r>
                </w:p>
              </w:tc>
              <w:tc>
                <w:tcPr>
                  <w:tcW w:w="1010" w:type="dxa"/>
                </w:tcPr>
                <w:p w14:paraId="1C398CF2" w14:textId="278A931D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  <w:tc>
                <w:tcPr>
                  <w:tcW w:w="1190" w:type="dxa"/>
                </w:tcPr>
                <w:p w14:paraId="66E0EBF7" w14:textId="005866DD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  <w:tc>
                <w:tcPr>
                  <w:tcW w:w="806" w:type="dxa"/>
                </w:tcPr>
                <w:p w14:paraId="2FDF5DE7" w14:textId="01F3CACA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  <w:tc>
                <w:tcPr>
                  <w:tcW w:w="1063" w:type="dxa"/>
                </w:tcPr>
                <w:p w14:paraId="5DC94A94" w14:textId="717B5DF6" w:rsidR="00056810" w:rsidRPr="00DB7F7D" w:rsidRDefault="00CF004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5,99</w:t>
                  </w:r>
                </w:p>
              </w:tc>
            </w:tr>
            <w:tr w:rsidR="00056810" w:rsidRPr="00DB7F7D" w14:paraId="272B84A2" w14:textId="77777777" w:rsidTr="00056810">
              <w:tc>
                <w:tcPr>
                  <w:tcW w:w="657" w:type="dxa"/>
                </w:tcPr>
                <w:p w14:paraId="32AD2E52" w14:textId="0DE8C555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7F7D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842" w:type="dxa"/>
                </w:tcPr>
                <w:p w14:paraId="38D6CADE" w14:textId="5912B6E6" w:rsidR="00056810" w:rsidRPr="00DB7F7D" w:rsidRDefault="00056810" w:rsidP="004C600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Arla 32 a granel</w:t>
                  </w:r>
                </w:p>
              </w:tc>
              <w:tc>
                <w:tcPr>
                  <w:tcW w:w="820" w:type="dxa"/>
                </w:tcPr>
                <w:p w14:paraId="233180A4" w14:textId="42965F61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eastAsia="Arial Unicode MS" w:hAnsi="Times New Roman" w:cs="Times New Roman"/>
                    </w:rPr>
                    <w:t>Litros</w:t>
                  </w:r>
                </w:p>
              </w:tc>
              <w:tc>
                <w:tcPr>
                  <w:tcW w:w="1001" w:type="dxa"/>
                </w:tcPr>
                <w:p w14:paraId="3D20CCD3" w14:textId="77777777" w:rsidR="00056810" w:rsidRPr="00DB7F7D" w:rsidRDefault="00056810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8" w:type="dxa"/>
                </w:tcPr>
                <w:p w14:paraId="2E5E8BCD" w14:textId="6B72CB3B" w:rsidR="00056810" w:rsidRPr="00DB7F7D" w:rsidRDefault="0039769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3,20</w:t>
                  </w:r>
                </w:p>
              </w:tc>
              <w:tc>
                <w:tcPr>
                  <w:tcW w:w="1010" w:type="dxa"/>
                </w:tcPr>
                <w:p w14:paraId="7C260672" w14:textId="2D7035A3" w:rsidR="00056810" w:rsidRPr="00DB7F7D" w:rsidRDefault="0039769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3,99</w:t>
                  </w:r>
                </w:p>
              </w:tc>
              <w:tc>
                <w:tcPr>
                  <w:tcW w:w="1190" w:type="dxa"/>
                </w:tcPr>
                <w:p w14:paraId="59D22E7C" w14:textId="485E1089" w:rsidR="00056810" w:rsidRPr="00DB7F7D" w:rsidRDefault="0039769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5,75</w:t>
                  </w:r>
                </w:p>
              </w:tc>
              <w:tc>
                <w:tcPr>
                  <w:tcW w:w="806" w:type="dxa"/>
                </w:tcPr>
                <w:p w14:paraId="6541107F" w14:textId="1466BBB4" w:rsidR="00056810" w:rsidRPr="00DB7F7D" w:rsidRDefault="0039769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5,89</w:t>
                  </w:r>
                </w:p>
              </w:tc>
              <w:tc>
                <w:tcPr>
                  <w:tcW w:w="1063" w:type="dxa"/>
                </w:tcPr>
                <w:p w14:paraId="6F4E3A9D" w14:textId="050B092A" w:rsidR="00056810" w:rsidRPr="00DB7F7D" w:rsidRDefault="00397691" w:rsidP="004C6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</w:rPr>
                    <w:t>3,99</w:t>
                  </w:r>
                </w:p>
              </w:tc>
            </w:tr>
          </w:tbl>
          <w:p w14:paraId="214AC891" w14:textId="3F35EB10" w:rsidR="00555C9D" w:rsidRPr="00DB7F7D" w:rsidRDefault="00555C9D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DB7F7D" w14:paraId="0DD0D247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28A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204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3A5DF83" w14:textId="77777777" w:rsidR="00E635F0" w:rsidRPr="00DB7F7D" w:rsidRDefault="00E635F0" w:rsidP="005E711F">
            <w:pPr>
              <w:jc w:val="both"/>
              <w:rPr>
                <w:rStyle w:val="fontstyle01"/>
                <w:b w:val="0"/>
                <w:bCs w:val="0"/>
              </w:rPr>
            </w:pPr>
            <w:r w:rsidRPr="00DB7F7D">
              <w:rPr>
                <w:rStyle w:val="fontstyle01"/>
                <w:b w:val="0"/>
                <w:bCs w:val="0"/>
              </w:rPr>
              <w:t>O parcelamento da solução refere-se à licitação realizada por item, sempre que o objeto for divisível, não haja prejuízo da solução, permita ampla participação de licitantes.</w:t>
            </w:r>
          </w:p>
          <w:p w14:paraId="0D7C54C6" w14:textId="77777777" w:rsidR="00E635F0" w:rsidRPr="00DB7F7D" w:rsidRDefault="00E635F0" w:rsidP="005E711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</w:rPr>
              <w:t>A licitação em questão será realizada por item e verificado que não haverá prejuízo para o conjunto da solução ou perda de economia de escala, visando propiciar a ampla participação de licitantes que, embora não disponham de capacidade para execução da totalidade do objeto, possam fazê-lo. Os itens não trazem dependência entre si, podendo ser adquiridos separadamente.</w:t>
            </w:r>
          </w:p>
          <w:p w14:paraId="5EFF93AA" w14:textId="75CCDB89" w:rsidR="000B7917" w:rsidRPr="00DB7F7D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E635F0" w:rsidRPr="00DB7F7D" w14:paraId="76DB0CE4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4BB" w14:textId="77777777" w:rsidR="00E635F0" w:rsidRPr="00DB7F7D" w:rsidRDefault="00E635F0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874" w14:textId="77777777" w:rsidR="00E635F0" w:rsidRPr="00DB7F7D" w:rsidRDefault="00E635F0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7F7D">
              <w:rPr>
                <w:rFonts w:ascii="Times New Roman" w:eastAsia="Times New Roman" w:hAnsi="Times New Roman" w:cs="Times New Roman"/>
                <w:b/>
              </w:rPr>
              <w:t xml:space="preserve">Descrição da solução como um todo </w:t>
            </w:r>
          </w:p>
          <w:p w14:paraId="5CB069E3" w14:textId="79A1AD44" w:rsidR="00E635F0" w:rsidRPr="00DB7F7D" w:rsidRDefault="00E635F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DB7F7D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899175851"/>
                <w:showingPlcHdr/>
              </w:sdtPr>
              <w:sdtContent>
                <w:r w:rsidRPr="00DB7F7D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5A3309" w:rsidRPr="00DB7F7D" w14:paraId="15BE1982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864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974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</w:t>
            </w:r>
            <w:r w:rsidRPr="00DB7F7D">
              <w:rPr>
                <w:rFonts w:ascii="Times New Roman" w:hAnsi="Times New Roman" w:cs="Times New Roman"/>
              </w:rPr>
              <w:t>.</w:t>
            </w:r>
          </w:p>
          <w:p w14:paraId="6E3A10E7" w14:textId="77777777" w:rsidR="00D8541E" w:rsidRPr="00DB7F7D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Pretende-se, com o presente processo licitatório, assegurar a seleção da proposta apta a gerar a contratação mais vantajosa para o Município.</w:t>
            </w:r>
          </w:p>
          <w:p w14:paraId="403BA3D1" w14:textId="1B7FADDA" w:rsidR="005E7F1D" w:rsidRPr="00DB7F7D" w:rsidRDefault="005E7F1D" w:rsidP="005E711F">
            <w:pPr>
              <w:shd w:val="clear" w:color="auto" w:fill="FFFFFF" w:themeFill="background1"/>
              <w:jc w:val="both"/>
              <w:rPr>
                <w:rFonts w:ascii="Times New Roman" w:eastAsia="Verdana" w:hAnsi="Times New Roman" w:cs="Times New Roman"/>
              </w:rPr>
            </w:pPr>
            <w:r w:rsidRPr="00DB7F7D">
              <w:rPr>
                <w:rFonts w:ascii="Times New Roman" w:eastAsia="Verdana" w:hAnsi="Times New Roman" w:cs="Times New Roman"/>
              </w:rPr>
              <w:t xml:space="preserve">Com a aquisição de combustíveis, busca-se o suprimento das necessidades, visando garantir o abastecimento dos veículos e máquinas pesadas de propriedade desta prefeitura. </w:t>
            </w:r>
          </w:p>
          <w:p w14:paraId="44A74ECD" w14:textId="27104819" w:rsidR="00D8541E" w:rsidRPr="00DB7F7D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Almeja-se, igualmente, assegurar tratamento isonômico entre os licitantes, bem como a justa competição, </w:t>
            </w:r>
            <w:r w:rsidR="000B35F5" w:rsidRPr="00DB7F7D">
              <w:rPr>
                <w:rFonts w:ascii="Times New Roman" w:hAnsi="Times New Roman" w:cs="Times New Roman"/>
              </w:rPr>
              <w:t>buscando</w:t>
            </w:r>
            <w:r w:rsidRPr="00DB7F7D">
              <w:rPr>
                <w:rFonts w:ascii="Times New Roman" w:hAnsi="Times New Roman" w:cs="Times New Roman"/>
              </w:rPr>
              <w:t xml:space="preserve"> evitar contratação com sobrepreço ou com preço manifestamente inexequível e superfaturamento na execução do contrato.</w:t>
            </w:r>
          </w:p>
          <w:p w14:paraId="34A0BEA2" w14:textId="6E93C827" w:rsidR="00555C9D" w:rsidRPr="00DB7F7D" w:rsidRDefault="00D8541E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lastRenderedPageBreak/>
              <w:t>A contratação decorrente do presente processo licitatório exigirá da contratada o cumprimento das boas práticas de sustentabilidade, contribuindo para a racionalização e otimização do uso dos recursos.</w:t>
            </w:r>
          </w:p>
        </w:tc>
      </w:tr>
      <w:tr w:rsidR="00B7488B" w:rsidRPr="00DB7F7D" w14:paraId="6C6F3D1B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0FC" w14:textId="77777777" w:rsidR="00B7488B" w:rsidRPr="00DB7F7D" w:rsidRDefault="00B7488B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9C1" w14:textId="77777777" w:rsidR="00B7488B" w:rsidRPr="00DB7F7D" w:rsidRDefault="00B7488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interdependentes. </w:t>
            </w:r>
          </w:p>
          <w:p w14:paraId="11DD28B4" w14:textId="584B1958" w:rsidR="00B7488B" w:rsidRPr="00DB7F7D" w:rsidRDefault="00B7488B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</w:rPr>
              <w:t>A presente contratação não guarda relação ou afinidade com outras contratações correlatas e/ou interdependentes no que tange ao presente objeto.</w:t>
            </w:r>
          </w:p>
        </w:tc>
      </w:tr>
      <w:tr w:rsidR="00EE0995" w:rsidRPr="00DB7F7D" w14:paraId="511FEAA1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48C" w14:textId="77777777" w:rsidR="00EE0995" w:rsidRPr="00DB7F7D" w:rsidRDefault="00EE0995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DF1" w14:textId="77777777" w:rsidR="00EE0995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214D709D" w14:textId="5C1E5ED5" w:rsidR="00EE0995" w:rsidRPr="00DB7F7D" w:rsidRDefault="000B35F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presente contratação não gera Impactos ambientais diretos., entretanto d</w:t>
            </w:r>
            <w:r w:rsidR="00EE0995" w:rsidRPr="00DB7F7D">
              <w:rPr>
                <w:rFonts w:ascii="Times New Roman" w:hAnsi="Times New Roman" w:cs="Times New Roman"/>
              </w:rPr>
              <w:t>everá ser recomendado ao licitante vencedor, conforme previsão neste instrumento, que a contratada deverá adotar práticas de sustentabilidade, conforme orientações do art. 6° da IN n°01/2010 (Compras Sustentáveis)</w:t>
            </w:r>
          </w:p>
          <w:p w14:paraId="62BEE9E5" w14:textId="46AB4081" w:rsidR="001D2339" w:rsidRPr="00DB7F7D" w:rsidRDefault="001D2339" w:rsidP="001D233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Contratada deverá, ainda, respeitar as Normas Brasileiras (NBR) publicadas pela ABNT sobre resíduos sólidos.</w:t>
            </w:r>
          </w:p>
        </w:tc>
      </w:tr>
      <w:tr w:rsidR="00EE0995" w:rsidRPr="00DB7F7D" w14:paraId="693C3CBD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830" w14:textId="77777777" w:rsidR="00EE0995" w:rsidRPr="00DB7F7D" w:rsidRDefault="00EE0995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6F6" w14:textId="77777777" w:rsidR="00EE0995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Providências a serem adotadas</w:t>
            </w:r>
          </w:p>
          <w:p w14:paraId="745EDF36" w14:textId="77777777" w:rsidR="00EE0995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Deverá a Administração indicar responsável(eis) por acompanhar o contrato decorrente deste processo.</w:t>
            </w:r>
          </w:p>
          <w:p w14:paraId="76A5FE45" w14:textId="77777777" w:rsidR="00EE0995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Devem ser providenciadas formas de fiscalização com relação à qualidade dos equipamentos e atendimento das especificações constantes na contratação.</w:t>
            </w:r>
          </w:p>
          <w:p w14:paraId="2D90FFD8" w14:textId="77777777" w:rsidR="00EE0995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gestão ficará a cargo das Unidades Requisitantes, que indicarão os(as) Fiscais do Contrato quando do Termo de Referência.</w:t>
            </w:r>
          </w:p>
          <w:p w14:paraId="355A6E0A" w14:textId="718D31C3" w:rsidR="00027F06" w:rsidRPr="00DB7F7D" w:rsidRDefault="00027F06" w:rsidP="00027F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É cediço informar que, a presente contratação deverá ser precedida de processo licitatório, em observância a Lei nº 14.133/2021. </w:t>
            </w:r>
          </w:p>
        </w:tc>
      </w:tr>
      <w:tr w:rsidR="005A3309" w:rsidRPr="00DB7F7D" w14:paraId="67331675" w14:textId="77777777" w:rsidTr="00B82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CBC" w14:textId="77777777" w:rsidR="005A3309" w:rsidRPr="00DB7F7D" w:rsidRDefault="005A3309" w:rsidP="005E711F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E17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52858458" w14:textId="70500867" w:rsidR="005A3309" w:rsidRPr="00DB7F7D" w:rsidRDefault="00EE0995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eastAsia="Times New Roman" w:hAnsi="Times New Roman" w:cs="Times New Roman"/>
              </w:rPr>
              <w:t>Diante de toda a análise desenvolvida no presente estudo técnico preliminar, a contratação mostra-se viável em termos de disponibilidade de mercado, forma de prestação do objeto, competitividade do mercado, não sendo possível observar óbices ao prosseguimento da presente contratação. A aquisição destes produtos cumpre as finalidades às quais se propõe e é adequado à atividade à qual se destinam. Diante do exposto, DECLARAMOS SER VIÁVEL a contratação pretendida.</w:t>
            </w:r>
          </w:p>
        </w:tc>
      </w:tr>
    </w:tbl>
    <w:p w14:paraId="2DF17553" w14:textId="77777777" w:rsidR="005A3309" w:rsidRPr="00DB7F7D" w:rsidRDefault="005A3309" w:rsidP="005E711F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</w:p>
    <w:p w14:paraId="232EBD6E" w14:textId="77777777" w:rsidR="005A3309" w:rsidRPr="00DB7F7D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289617" w14:textId="3A87A325" w:rsidR="005A3309" w:rsidRPr="00DB7F7D" w:rsidRDefault="005A3309" w:rsidP="005E71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DB7F7D">
        <w:rPr>
          <w:rFonts w:ascii="Times New Roman" w:hAnsi="Times New Roman" w:cs="Times New Roman"/>
          <w:b/>
        </w:rPr>
        <w:t>TERMO DE REFERÊNCIA</w:t>
      </w: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E26091" w:rsidRPr="00DB7F7D" w14:paraId="1319FC09" w14:textId="77777777" w:rsidTr="001D474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3BF45A" w14:textId="77777777" w:rsidR="00E26091" w:rsidRPr="00DB7F7D" w:rsidRDefault="00E26091" w:rsidP="005E71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B7F7D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5A3309" w:rsidRPr="00DB7F7D" w14:paraId="5A80BBF7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8DA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D41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</w:t>
            </w:r>
          </w:p>
          <w:p w14:paraId="45B55CC9" w14:textId="77A2A35B" w:rsidR="00BD654E" w:rsidRPr="00DB7F7D" w:rsidRDefault="004C593B" w:rsidP="005E711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Constitui objeto deste certame </w:t>
            </w:r>
            <w:r w:rsidR="000B35F5" w:rsidRPr="00DB7F7D">
              <w:rPr>
                <w:rFonts w:ascii="Times New Roman" w:hAnsi="Times New Roman" w:cs="Times New Roman"/>
              </w:rPr>
              <w:t>o</w:t>
            </w:r>
            <w:r w:rsidRPr="00DB7F7D">
              <w:rPr>
                <w:rFonts w:ascii="Times New Roman" w:hAnsi="Times New Roman" w:cs="Times New Roman"/>
              </w:rPr>
              <w:t xml:space="preserve"> REGISTRO DE PREÇOS PARA EVENTUAL E FUTURA AQUISIÇÃO DE COMBUSTÍVEIS PARA ATENDER AS DEMANDAS DE TODAS AS SECRETARIAS E ÓRGÃOS CONVENIADOS DO MUNICÍPIO DO PALMITOS/SC, conforme condições, quantidades e exigências estabelecidas neste instrumento e seus anexos.</w:t>
            </w:r>
          </w:p>
          <w:p w14:paraId="59B55293" w14:textId="77777777" w:rsidR="00BD654E" w:rsidRPr="00DB7F7D" w:rsidRDefault="00BD654E" w:rsidP="005E711F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Bens e serviços Comuns.</w:t>
            </w:r>
          </w:p>
          <w:p w14:paraId="1E87CAEE" w14:textId="4727E3E0" w:rsidR="005A3309" w:rsidRPr="00DB7F7D" w:rsidRDefault="00BD654E" w:rsidP="005E711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B7F7D">
              <w:rPr>
                <w:bCs/>
                <w:sz w:val="22"/>
                <w:szCs w:val="22"/>
              </w:rPr>
              <w:t>O prazo de vigência da ata de registro de preços será de 1 (um) ano, podendo ser prorrogado até o limite de 2 (dois) anos, desde que comprovado o preço vantajoso (</w:t>
            </w:r>
            <w:hyperlink r:id="rId7" w:anchor="art84" w:history="1">
              <w:r w:rsidRPr="00DB7F7D">
                <w:rPr>
                  <w:rStyle w:val="Hyperlink"/>
                  <w:bCs/>
                  <w:sz w:val="22"/>
                  <w:szCs w:val="22"/>
                </w:rPr>
                <w:t>art. 84 da Lei Federal nº 14.133/2021</w:t>
              </w:r>
            </w:hyperlink>
            <w:r w:rsidRPr="00DB7F7D">
              <w:rPr>
                <w:sz w:val="22"/>
                <w:szCs w:val="22"/>
              </w:rPr>
              <w:t>).</w:t>
            </w:r>
            <w:r w:rsidR="003B7C85" w:rsidRPr="00DB7F7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A3309" w:rsidRPr="00DB7F7D" w14:paraId="1B76233B" w14:textId="77777777" w:rsidTr="0056659C">
        <w:trPr>
          <w:trHeight w:val="2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B7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41C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</w:t>
            </w:r>
          </w:p>
          <w:p w14:paraId="510683AB" w14:textId="77777777" w:rsidR="000B3F59" w:rsidRPr="00DB7F7D" w:rsidRDefault="000B3F5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Não se localizou um catálogo de padronização. </w:t>
            </w:r>
          </w:p>
          <w:p w14:paraId="01F627BE" w14:textId="77777777" w:rsidR="000B3F59" w:rsidRPr="00DB7F7D" w:rsidRDefault="000B3F5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Portanto, a especificação foi elaborada através de comparativo dos orçamentos e analisando contratações similares de outros municípios.</w:t>
            </w:r>
          </w:p>
          <w:tbl>
            <w:tblPr>
              <w:tblStyle w:val="Tabelacomgrade"/>
              <w:tblW w:w="8956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4528"/>
              <w:gridCol w:w="1134"/>
              <w:gridCol w:w="1276"/>
              <w:gridCol w:w="1276"/>
            </w:tblGrid>
            <w:tr w:rsidR="000B3F59" w:rsidRPr="00DB7F7D" w14:paraId="7276E55D" w14:textId="77777777" w:rsidTr="00C0231B">
              <w:tc>
                <w:tcPr>
                  <w:tcW w:w="742" w:type="dxa"/>
                </w:tcPr>
                <w:p w14:paraId="140ED3D7" w14:textId="77777777" w:rsidR="000B3F59" w:rsidRPr="00DB7F7D" w:rsidRDefault="000B3F59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4528" w:type="dxa"/>
                </w:tcPr>
                <w:p w14:paraId="17E1956E" w14:textId="77777777" w:rsidR="000B3F59" w:rsidRPr="00DB7F7D" w:rsidRDefault="000B3F59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 xml:space="preserve">                           descrição</w:t>
                  </w:r>
                </w:p>
              </w:tc>
              <w:tc>
                <w:tcPr>
                  <w:tcW w:w="1134" w:type="dxa"/>
                </w:tcPr>
                <w:p w14:paraId="442E6AE3" w14:textId="77777777" w:rsidR="000B3F59" w:rsidRPr="00DB7F7D" w:rsidRDefault="000B3F59" w:rsidP="005E711F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DB7F7D">
                    <w:rPr>
                      <w:bCs/>
                      <w:sz w:val="22"/>
                      <w:szCs w:val="22"/>
                    </w:rPr>
                    <w:t>Und</w:t>
                  </w:r>
                  <w:proofErr w:type="spellEnd"/>
                  <w:r w:rsidRPr="00DB7F7D">
                    <w:rPr>
                      <w:bCs/>
                      <w:sz w:val="22"/>
                      <w:szCs w:val="22"/>
                    </w:rPr>
                    <w:t>. Med</w:t>
                  </w:r>
                </w:p>
              </w:tc>
              <w:tc>
                <w:tcPr>
                  <w:tcW w:w="1276" w:type="dxa"/>
                </w:tcPr>
                <w:p w14:paraId="43C75CB5" w14:textId="77777777" w:rsidR="000B3F59" w:rsidRPr="00DB7F7D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 xml:space="preserve">Quant. </w:t>
                  </w:r>
                  <w:proofErr w:type="spellStart"/>
                  <w:r w:rsidRPr="00DB7F7D">
                    <w:rPr>
                      <w:bCs/>
                      <w:sz w:val="22"/>
                      <w:szCs w:val="22"/>
                    </w:rPr>
                    <w:t>Máx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23C6837" w14:textId="77777777" w:rsidR="000B3F59" w:rsidRPr="00DB7F7D" w:rsidRDefault="000B3F59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Quant. Min</w:t>
                  </w:r>
                </w:p>
              </w:tc>
            </w:tr>
            <w:tr w:rsidR="00675F7B" w:rsidRPr="00DB7F7D" w14:paraId="7FEFE2F6" w14:textId="77777777" w:rsidTr="00C0231B">
              <w:tc>
                <w:tcPr>
                  <w:tcW w:w="742" w:type="dxa"/>
                </w:tcPr>
                <w:p w14:paraId="564A0364" w14:textId="77777777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28" w:type="dxa"/>
                </w:tcPr>
                <w:p w14:paraId="7070EEAA" w14:textId="0CA10A4F" w:rsidR="00675F7B" w:rsidRPr="00DB7F7D" w:rsidRDefault="00675F7B" w:rsidP="00675F7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Comum</w:t>
                  </w:r>
                </w:p>
              </w:tc>
              <w:tc>
                <w:tcPr>
                  <w:tcW w:w="1134" w:type="dxa"/>
                </w:tcPr>
                <w:p w14:paraId="3780D9B5" w14:textId="191523C9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76" w:type="dxa"/>
                </w:tcPr>
                <w:p w14:paraId="652CC899" w14:textId="34625ED8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80.000</w:t>
                  </w:r>
                </w:p>
              </w:tc>
              <w:tc>
                <w:tcPr>
                  <w:tcW w:w="1276" w:type="dxa"/>
                </w:tcPr>
                <w:p w14:paraId="0218793E" w14:textId="1449A4EF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5.000</w:t>
                  </w:r>
                </w:p>
              </w:tc>
            </w:tr>
            <w:tr w:rsidR="00675F7B" w:rsidRPr="00DB7F7D" w14:paraId="694F8B71" w14:textId="77777777" w:rsidTr="00C0231B">
              <w:tc>
                <w:tcPr>
                  <w:tcW w:w="742" w:type="dxa"/>
                </w:tcPr>
                <w:p w14:paraId="58E159D5" w14:textId="7BF9AF32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28" w:type="dxa"/>
                </w:tcPr>
                <w:p w14:paraId="584016C5" w14:textId="5B0A9A81" w:rsidR="00675F7B" w:rsidRPr="00DB7F7D" w:rsidRDefault="00675F7B" w:rsidP="00675F7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Gasolina Comum</w:t>
                  </w:r>
                </w:p>
              </w:tc>
              <w:tc>
                <w:tcPr>
                  <w:tcW w:w="1134" w:type="dxa"/>
                </w:tcPr>
                <w:p w14:paraId="2DB66DF7" w14:textId="40D62174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76" w:type="dxa"/>
                </w:tcPr>
                <w:p w14:paraId="4AA573DF" w14:textId="580DA9F2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100.000</w:t>
                  </w:r>
                </w:p>
              </w:tc>
              <w:tc>
                <w:tcPr>
                  <w:tcW w:w="1276" w:type="dxa"/>
                </w:tcPr>
                <w:p w14:paraId="485B155E" w14:textId="15695C50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10.000</w:t>
                  </w:r>
                </w:p>
              </w:tc>
            </w:tr>
            <w:tr w:rsidR="00675F7B" w:rsidRPr="00DB7F7D" w14:paraId="54E981DE" w14:textId="77777777" w:rsidTr="00C0231B">
              <w:tc>
                <w:tcPr>
                  <w:tcW w:w="742" w:type="dxa"/>
                </w:tcPr>
                <w:p w14:paraId="1DFA7857" w14:textId="3AFC8F35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528" w:type="dxa"/>
                </w:tcPr>
                <w:p w14:paraId="2CE765F1" w14:textId="71CE29C4" w:rsidR="00675F7B" w:rsidRPr="00DB7F7D" w:rsidRDefault="00675F7B" w:rsidP="00675F7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S10</w:t>
                  </w:r>
                </w:p>
              </w:tc>
              <w:tc>
                <w:tcPr>
                  <w:tcW w:w="1134" w:type="dxa"/>
                </w:tcPr>
                <w:p w14:paraId="443E9B34" w14:textId="0D25411D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76" w:type="dxa"/>
                </w:tcPr>
                <w:p w14:paraId="30D4ECC3" w14:textId="5E2B9A45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420.000</w:t>
                  </w:r>
                </w:p>
              </w:tc>
              <w:tc>
                <w:tcPr>
                  <w:tcW w:w="1276" w:type="dxa"/>
                </w:tcPr>
                <w:p w14:paraId="738BCAA1" w14:textId="6F8697F4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100.000</w:t>
                  </w:r>
                </w:p>
              </w:tc>
            </w:tr>
            <w:tr w:rsidR="00675F7B" w:rsidRPr="00DB7F7D" w14:paraId="68BFA8B6" w14:textId="77777777" w:rsidTr="00C0231B">
              <w:tc>
                <w:tcPr>
                  <w:tcW w:w="742" w:type="dxa"/>
                </w:tcPr>
                <w:p w14:paraId="0C04D1B0" w14:textId="7B6C353F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28" w:type="dxa"/>
                </w:tcPr>
                <w:p w14:paraId="2FED00B7" w14:textId="0B6505FB" w:rsidR="00675F7B" w:rsidRPr="00DB7F7D" w:rsidRDefault="00675F7B" w:rsidP="00675F7B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Arla 32 a granel</w:t>
                  </w:r>
                </w:p>
              </w:tc>
              <w:tc>
                <w:tcPr>
                  <w:tcW w:w="1134" w:type="dxa"/>
                </w:tcPr>
                <w:p w14:paraId="324133AA" w14:textId="2BEAF9AD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76" w:type="dxa"/>
                </w:tcPr>
                <w:p w14:paraId="0A67C9AB" w14:textId="6BB0D214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3.600</w:t>
                  </w:r>
                </w:p>
              </w:tc>
              <w:tc>
                <w:tcPr>
                  <w:tcW w:w="1276" w:type="dxa"/>
                </w:tcPr>
                <w:p w14:paraId="4AB04E7B" w14:textId="1254A436" w:rsidR="00675F7B" w:rsidRPr="00DB7F7D" w:rsidRDefault="00675F7B" w:rsidP="00675F7B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</w:tr>
          </w:tbl>
          <w:p w14:paraId="675DFB14" w14:textId="69893D6E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309" w:rsidRPr="00DB7F7D" w14:paraId="3589E62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6AB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57F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</w:t>
            </w:r>
          </w:p>
          <w:p w14:paraId="01445552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fundamentação e a necessidade desta contratação ficam demonstradas no ETP e em anexos.</w:t>
            </w:r>
          </w:p>
        </w:tc>
      </w:tr>
      <w:tr w:rsidR="002F0F12" w:rsidRPr="00DB7F7D" w14:paraId="3BEA149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01D" w14:textId="77777777" w:rsidR="002F0F12" w:rsidRPr="00DB7F7D" w:rsidRDefault="002F0F12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635" w14:textId="77777777" w:rsidR="002F0F12" w:rsidRPr="00DB7F7D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 xml:space="preserve">Descrição da solução como um todo, considerado todo o ciclo de vida do objeto. </w:t>
            </w:r>
          </w:p>
          <w:p w14:paraId="59E8A7E3" w14:textId="1241C468" w:rsidR="002F0F12" w:rsidRPr="00DB7F7D" w:rsidRDefault="002F0F12" w:rsidP="005E711F">
            <w:pPr>
              <w:jc w:val="both"/>
              <w:rPr>
                <w:rStyle w:val="fontstyle01"/>
                <w:b w:val="0"/>
                <w:bCs w:val="0"/>
              </w:rPr>
            </w:pPr>
            <w:r w:rsidRPr="00DB7F7D">
              <w:rPr>
                <w:rStyle w:val="fontstyle01"/>
                <w:b w:val="0"/>
                <w:bCs w:val="0"/>
              </w:rPr>
              <w:t xml:space="preserve">Em conformidade com o Estudo Técnico Preliminar – ETP, a solução proposta é o registro de preço para a contratação de uma empresa para </w:t>
            </w:r>
            <w:r w:rsidR="006A79E2" w:rsidRPr="00DB7F7D">
              <w:rPr>
                <w:rStyle w:val="fontstyle01"/>
                <w:b w:val="0"/>
                <w:bCs w:val="0"/>
              </w:rPr>
              <w:t>aquisição</w:t>
            </w:r>
            <w:r w:rsidRPr="00DB7F7D">
              <w:rPr>
                <w:rStyle w:val="fontstyle01"/>
                <w:b w:val="0"/>
                <w:bCs w:val="0"/>
              </w:rPr>
              <w:t xml:space="preserve"> de forma parcelada de </w:t>
            </w:r>
            <w:r w:rsidR="006A79E2" w:rsidRPr="00DB7F7D">
              <w:rPr>
                <w:rStyle w:val="fontstyle01"/>
                <w:b w:val="0"/>
                <w:bCs w:val="0"/>
              </w:rPr>
              <w:t>combustível</w:t>
            </w:r>
            <w:r w:rsidRPr="00DB7F7D">
              <w:rPr>
                <w:rStyle w:val="fontstyle01"/>
                <w:b w:val="0"/>
                <w:bCs w:val="0"/>
              </w:rPr>
              <w:t>.</w:t>
            </w:r>
          </w:p>
          <w:p w14:paraId="6F982C58" w14:textId="4D7D9A3D" w:rsidR="002F0F12" w:rsidRPr="00DB7F7D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Style w:val="fontstyle01"/>
                <w:b w:val="0"/>
                <w:bCs w:val="0"/>
              </w:rPr>
              <w:lastRenderedPageBreak/>
              <w:t>Este registro de preço consiste justamente em garantir a continuidade dos serviços de interesse público, realizando pesquisas sobre outras formas mais benéficas ao município para solucionar o pleito, concluiu-se que o meio que possui menor burocracia, maior transparência, melhor economia ao município, se dá justamente no registro de preço garantindo a competitividade entre empresas, diminuindo preços do produto.</w:t>
            </w:r>
          </w:p>
        </w:tc>
      </w:tr>
      <w:tr w:rsidR="002F0F12" w:rsidRPr="00DB7F7D" w14:paraId="55AD691B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F23" w14:textId="77777777" w:rsidR="002F0F12" w:rsidRPr="00DB7F7D" w:rsidRDefault="002F0F12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E3E" w14:textId="77777777" w:rsidR="002F0F12" w:rsidRPr="00DB7F7D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157D4DC6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B7F7D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031D521E" w14:textId="77777777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8" w:anchor="art63i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63, I da Lei nº 14.133/2021</w:t>
              </w:r>
            </w:hyperlink>
            <w:r w:rsidRPr="00DB7F7D">
              <w:rPr>
                <w:rFonts w:ascii="Times New Roman" w:hAnsi="Times New Roman" w:cs="Times New Roman"/>
              </w:rPr>
              <w:t xml:space="preserve">) </w:t>
            </w:r>
          </w:p>
          <w:p w14:paraId="16E3EA52" w14:textId="77777777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93 da Lei nº 8.213/91</w:t>
              </w:r>
            </w:hyperlink>
            <w:r w:rsidRPr="00DB7F7D">
              <w:rPr>
                <w:rFonts w:ascii="Times New Roman" w:hAnsi="Times New Roman" w:cs="Times New Roman"/>
              </w:rPr>
              <w:t xml:space="preserve"> (</w:t>
            </w:r>
            <w:hyperlink r:id="rId10" w:anchor="art63iv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63, IV da Lei nº 14.133/2021</w:t>
              </w:r>
            </w:hyperlink>
            <w:r w:rsidRPr="00DB7F7D">
              <w:rPr>
                <w:rFonts w:ascii="Times New Roman" w:hAnsi="Times New Roman" w:cs="Times New Roman"/>
              </w:rPr>
              <w:t>)</w:t>
            </w:r>
          </w:p>
          <w:p w14:paraId="40A0FFB8" w14:textId="27C4C61F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O licitante </w:t>
            </w:r>
            <w:r w:rsidRPr="00DB7F7D">
              <w:rPr>
                <w:rFonts w:ascii="Times New Roman" w:hAnsi="Times New Roman" w:cs="Times New Roman"/>
                <w:b/>
              </w:rPr>
              <w:t>deverá</w:t>
            </w:r>
            <w:r w:rsidRPr="00DB7F7D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7B7EFB99" w14:textId="77777777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HABILITAÇÃO JURÍDICA (</w:t>
            </w:r>
            <w:hyperlink r:id="rId11" w:anchor="art66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66 da Lei nº 14.133/2021</w:t>
              </w:r>
            </w:hyperlink>
            <w:r w:rsidRPr="00DB7F7D">
              <w:rPr>
                <w:rFonts w:ascii="Times New Roman" w:hAnsi="Times New Roman" w:cs="Times New Roman"/>
              </w:rPr>
              <w:t>):</w:t>
            </w:r>
          </w:p>
          <w:p w14:paraId="518720E8" w14:textId="77777777" w:rsidR="002F0F12" w:rsidRPr="00DB7F7D" w:rsidRDefault="002F0F12" w:rsidP="005E711F">
            <w:pPr>
              <w:pStyle w:val="PargrafodaLista"/>
              <w:numPr>
                <w:ilvl w:val="1"/>
                <w:numId w:val="17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480635BA" w14:textId="77777777" w:rsidR="002F0F12" w:rsidRPr="00DB7F7D" w:rsidRDefault="002F0F12" w:rsidP="005E711F">
            <w:pPr>
              <w:pStyle w:val="PargrafodaLista"/>
              <w:numPr>
                <w:ilvl w:val="1"/>
                <w:numId w:val="17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Estatuto ou contrato social;</w:t>
            </w:r>
          </w:p>
          <w:p w14:paraId="31480B6B" w14:textId="77777777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HABILITAÇÃO FISCAL, SOCIAL E TRABALHISTA (</w:t>
            </w:r>
            <w:hyperlink r:id="rId12" w:anchor="art68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68 da Lei nº 14.133/2021</w:t>
              </w:r>
            </w:hyperlink>
            <w:r w:rsidRPr="00DB7F7D">
              <w:rPr>
                <w:rFonts w:ascii="Times New Roman" w:hAnsi="Times New Roman" w:cs="Times New Roman"/>
              </w:rPr>
              <w:t>):</w:t>
            </w:r>
          </w:p>
          <w:p w14:paraId="33EAE276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a)</w:t>
            </w:r>
            <w:r w:rsidRPr="00DB7F7D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54FE937F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b)</w:t>
            </w:r>
            <w:r w:rsidRPr="00DB7F7D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456D45AE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c)</w:t>
            </w:r>
            <w:r w:rsidRPr="00DB7F7D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0C16F630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d)</w:t>
            </w:r>
            <w:r w:rsidRPr="00DB7F7D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67EF37F9" w14:textId="77777777" w:rsidR="002F0F12" w:rsidRPr="00DB7F7D" w:rsidRDefault="002F0F12" w:rsidP="005E71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e)</w:t>
            </w:r>
            <w:r w:rsidRPr="00DB7F7D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5F432F8F" w14:textId="77777777" w:rsidR="002F0F12" w:rsidRPr="00DB7F7D" w:rsidRDefault="002F0F12" w:rsidP="005E711F">
            <w:pPr>
              <w:pStyle w:val="PargrafodaLista"/>
              <w:numPr>
                <w:ilvl w:val="0"/>
                <w:numId w:val="17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color w:val="000000" w:themeColor="text1"/>
              </w:rPr>
              <w:t xml:space="preserve">HABILITAÇÃO </w:t>
            </w:r>
            <w:r w:rsidRPr="00DB7F7D">
              <w:rPr>
                <w:rFonts w:ascii="Times New Roman" w:hAnsi="Times New Roman" w:cs="Times New Roman"/>
              </w:rPr>
              <w:t>ECONÔMICO FINANCEIRA (</w:t>
            </w:r>
            <w:hyperlink r:id="rId13" w:anchor="art68" w:history="1">
              <w:r w:rsidRPr="00DB7F7D">
                <w:rPr>
                  <w:rStyle w:val="Hyperlink"/>
                  <w:rFonts w:ascii="Times New Roman" w:hAnsi="Times New Roman" w:cs="Times New Roman"/>
                </w:rPr>
                <w:t>art. 69 da Lei nº 14.133/2021</w:t>
              </w:r>
            </w:hyperlink>
            <w:r w:rsidRPr="00DB7F7D">
              <w:rPr>
                <w:rFonts w:ascii="Times New Roman" w:hAnsi="Times New Roman" w:cs="Times New Roman"/>
              </w:rPr>
              <w:t>):</w:t>
            </w:r>
          </w:p>
          <w:p w14:paraId="42C62D8E" w14:textId="77777777" w:rsidR="002F0F12" w:rsidRPr="00DB7F7D" w:rsidRDefault="002F0F12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DB7F7D">
              <w:rPr>
                <w:rFonts w:ascii="Times New Roman" w:hAnsi="Times New Roman" w:cs="Times New Roman"/>
                <w:b/>
              </w:rPr>
              <w:t>a)</w:t>
            </w:r>
            <w:r w:rsidRPr="00DB7F7D">
              <w:rPr>
                <w:rFonts w:ascii="Times New Roman" w:hAnsi="Times New Roman" w:cs="Times New Roman"/>
                <w:bCs/>
              </w:rPr>
              <w:t xml:space="preserve"> Certidão negativa de feitos sobre falência expedida pelo distribuidor da sede do licitante.</w:t>
            </w:r>
          </w:p>
          <w:p w14:paraId="546CD626" w14:textId="7AEA0EC0" w:rsidR="005E711F" w:rsidRPr="00DB7F7D" w:rsidRDefault="007E02D0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DB7F7D">
              <w:rPr>
                <w:rFonts w:ascii="Times New Roman" w:hAnsi="Times New Roman" w:cs="Times New Roman"/>
                <w:b/>
              </w:rPr>
              <w:t>VII – OUTROS DOCUMENTOS</w:t>
            </w:r>
          </w:p>
          <w:p w14:paraId="64781B9F" w14:textId="77777777" w:rsidR="005E711F" w:rsidRPr="00DB7F7D" w:rsidRDefault="005E711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6A79E2" w:rsidRPr="00DB7F7D">
              <w:rPr>
                <w:rFonts w:ascii="Times New Roman" w:hAnsi="Times New Roman" w:cs="Times New Roman"/>
              </w:rPr>
              <w:t>Certificado de Posto Revendedor expedido pela Agência Nacional de Petróleo – ANP</w:t>
            </w:r>
            <w:r w:rsidRPr="00DB7F7D">
              <w:rPr>
                <w:rFonts w:ascii="Times New Roman" w:hAnsi="Times New Roman" w:cs="Times New Roman"/>
              </w:rPr>
              <w:t>.</w:t>
            </w:r>
          </w:p>
          <w:p w14:paraId="787FB0C5" w14:textId="68AD561F" w:rsidR="00600076" w:rsidRPr="00DB7F7D" w:rsidRDefault="00600076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</w:rPr>
              <w:t>b)</w:t>
            </w:r>
            <w:r w:rsidRPr="00DB7F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7F7D">
              <w:rPr>
                <w:rFonts w:ascii="Times New Roman" w:hAnsi="Times New Roman" w:cs="Times New Roman"/>
                <w:bCs/>
              </w:rPr>
              <w:t>Declaração de distância da sede do município, com apenas uma casa após a vírgula.</w:t>
            </w:r>
          </w:p>
        </w:tc>
      </w:tr>
      <w:tr w:rsidR="005A3309" w:rsidRPr="00DB7F7D" w14:paraId="681ED970" w14:textId="77777777" w:rsidTr="001D4741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ACD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39" w14:textId="77777777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</w:t>
            </w:r>
            <w:r w:rsidRPr="00DB7F7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DF3455F" w14:textId="77777777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gestão do presente objeto será realizada por cada secretária/departamento solicitante, sendo os mesmos responsáveis pela fiscalização do contrato.</w:t>
            </w:r>
          </w:p>
          <w:p w14:paraId="78B95893" w14:textId="77777777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79880466" w14:textId="77777777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721DA6C7" w14:textId="77777777" w:rsidR="00ED34AF" w:rsidRPr="00DB7F7D" w:rsidRDefault="00ED34AF" w:rsidP="005E711F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Exercer o acompanhamento e a fiscalização do objeto contratado, através dos </w:t>
            </w:r>
            <w:r w:rsidRPr="00DB7F7D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Pr="00DB7F7D">
              <w:rPr>
                <w:rFonts w:ascii="Times New Roman" w:eastAsia="Calibri" w:hAnsi="Times New Roman" w:cs="Times New Roman"/>
              </w:rPr>
              <w:t xml:space="preserve">os </w:t>
            </w:r>
            <w:r w:rsidRPr="00DB7F7D">
              <w:rPr>
                <w:rFonts w:ascii="Times New Roman" w:hAnsi="Times New Roman" w:cs="Times New Roman"/>
              </w:rPr>
              <w:t xml:space="preserve">Srs. </w:t>
            </w:r>
            <w:r w:rsidRPr="00DB7F7D">
              <w:rPr>
                <w:rFonts w:ascii="Times New Roman" w:eastAsia="Calibri" w:hAnsi="Times New Roman" w:cs="Times New Roman"/>
              </w:rPr>
              <w:t xml:space="preserve">Rodrigo Henrique Tim, </w:t>
            </w:r>
            <w:bookmarkStart w:id="0" w:name="_Hlk133478254"/>
            <w:proofErr w:type="spellStart"/>
            <w:r w:rsidRPr="00DB7F7D">
              <w:rPr>
                <w:rFonts w:ascii="Times New Roman" w:hAnsi="Times New Roman" w:cs="Times New Roman"/>
              </w:rPr>
              <w:t>Olir</w:t>
            </w:r>
            <w:proofErr w:type="spellEnd"/>
            <w:r w:rsidRPr="00DB7F7D">
              <w:rPr>
                <w:rFonts w:ascii="Times New Roman" w:hAnsi="Times New Roman" w:cs="Times New Roman"/>
              </w:rPr>
              <w:t xml:space="preserve"> Roque </w:t>
            </w:r>
            <w:proofErr w:type="spellStart"/>
            <w:r w:rsidRPr="00DB7F7D">
              <w:rPr>
                <w:rFonts w:ascii="Times New Roman" w:hAnsi="Times New Roman" w:cs="Times New Roman"/>
              </w:rPr>
              <w:t>Gonzatti</w:t>
            </w:r>
            <w:bookmarkEnd w:id="0"/>
            <w:proofErr w:type="spellEnd"/>
            <w:r w:rsidRPr="00DB7F7D">
              <w:rPr>
                <w:rFonts w:ascii="Times New Roman" w:hAnsi="Times New Roman" w:cs="Times New Roman"/>
              </w:rPr>
              <w:t xml:space="preserve">, </w:t>
            </w:r>
            <w:r w:rsidRPr="00DB7F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B7F7D">
              <w:rPr>
                <w:rFonts w:ascii="Times New Roman" w:eastAsia="Calibri" w:hAnsi="Times New Roman" w:cs="Times New Roman"/>
              </w:rPr>
              <w:t>Dineia</w:t>
            </w:r>
            <w:proofErr w:type="spellEnd"/>
            <w:r w:rsidRPr="00DB7F7D">
              <w:rPr>
                <w:rFonts w:ascii="Times New Roman" w:eastAsia="Calibri" w:hAnsi="Times New Roman" w:cs="Times New Roman"/>
              </w:rPr>
              <w:t xml:space="preserve"> Cristiane de Aguiar e as Sras. </w:t>
            </w:r>
            <w:r w:rsidRPr="00DB7F7D">
              <w:rPr>
                <w:rFonts w:ascii="Times New Roman" w:hAnsi="Times New Roman" w:cs="Times New Roman"/>
              </w:rPr>
              <w:t xml:space="preserve">Lucineide </w:t>
            </w:r>
            <w:proofErr w:type="spellStart"/>
            <w:r w:rsidRPr="00DB7F7D">
              <w:rPr>
                <w:rFonts w:ascii="Times New Roman" w:hAnsi="Times New Roman" w:cs="Times New Roman"/>
              </w:rPr>
              <w:t>Orsolin</w:t>
            </w:r>
            <w:proofErr w:type="spellEnd"/>
            <w:r w:rsidRPr="00DB7F7D">
              <w:rPr>
                <w:rFonts w:ascii="Times New Roman" w:hAnsi="Times New Roman" w:cs="Times New Roman"/>
              </w:rPr>
              <w:t xml:space="preserve"> e Rosangela Otto, </w:t>
            </w:r>
            <w:r w:rsidRPr="00DB7F7D">
              <w:rPr>
                <w:rFonts w:ascii="Times New Roman" w:eastAsia="Calibri" w:hAnsi="Times New Roman" w:cs="Times New Roman"/>
                <w:bCs/>
              </w:rPr>
              <w:t xml:space="preserve">e como Fiscais, as Sras. </w:t>
            </w:r>
            <w:proofErr w:type="spellStart"/>
            <w:r w:rsidRPr="00DB7F7D">
              <w:rPr>
                <w:rFonts w:ascii="Times New Roman" w:eastAsia="Calibri" w:hAnsi="Times New Roman" w:cs="Times New Roman"/>
                <w:bCs/>
              </w:rPr>
              <w:t>Iva</w:t>
            </w:r>
            <w:proofErr w:type="spellEnd"/>
            <w:r w:rsidRPr="00DB7F7D">
              <w:rPr>
                <w:rFonts w:ascii="Times New Roman" w:eastAsia="Calibri" w:hAnsi="Times New Roman" w:cs="Times New Roman"/>
                <w:bCs/>
              </w:rPr>
              <w:t xml:space="preserve"> Cristina </w:t>
            </w:r>
            <w:proofErr w:type="spellStart"/>
            <w:r w:rsidRPr="00DB7F7D">
              <w:rPr>
                <w:rFonts w:ascii="Times New Roman" w:eastAsia="Calibri" w:hAnsi="Times New Roman" w:cs="Times New Roman"/>
                <w:bCs/>
              </w:rPr>
              <w:t>Zittlau</w:t>
            </w:r>
            <w:proofErr w:type="spellEnd"/>
            <w:r w:rsidRPr="00DB7F7D">
              <w:rPr>
                <w:rFonts w:ascii="Times New Roman" w:eastAsia="Calibri" w:hAnsi="Times New Roman" w:cs="Times New Roman"/>
                <w:bCs/>
              </w:rPr>
              <w:t>,</w:t>
            </w:r>
            <w:r w:rsidRPr="00DB7F7D">
              <w:rPr>
                <w:rFonts w:ascii="Times New Roman" w:hAnsi="Times New Roman" w:cs="Times New Roman"/>
              </w:rPr>
              <w:t xml:space="preserve"> Eliane Furlanetto </w:t>
            </w:r>
            <w:proofErr w:type="spellStart"/>
            <w:r w:rsidRPr="00DB7F7D">
              <w:rPr>
                <w:rFonts w:ascii="Times New Roman" w:hAnsi="Times New Roman" w:cs="Times New Roman"/>
              </w:rPr>
              <w:t>Reinheimer</w:t>
            </w:r>
            <w:proofErr w:type="spellEnd"/>
            <w:r w:rsidRPr="00DB7F7D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Pr="00DB7F7D">
              <w:rPr>
                <w:rFonts w:ascii="Times New Roman" w:hAnsi="Times New Roman" w:cs="Times New Roman"/>
              </w:rPr>
              <w:t>Chirlei</w:t>
            </w:r>
            <w:proofErr w:type="spellEnd"/>
            <w:r w:rsidRPr="00DB7F7D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Pr="00DB7F7D">
              <w:rPr>
                <w:rFonts w:ascii="Times New Roman" w:hAnsi="Times New Roman" w:cs="Times New Roman"/>
              </w:rPr>
              <w:t>Pedó</w:t>
            </w:r>
            <w:proofErr w:type="spellEnd"/>
            <w:r w:rsidRPr="00DB7F7D">
              <w:rPr>
                <w:rFonts w:ascii="Times New Roman" w:hAnsi="Times New Roman" w:cs="Times New Roman"/>
              </w:rPr>
              <w:t xml:space="preserve"> e </w:t>
            </w:r>
            <w:r w:rsidRPr="00DB7F7D">
              <w:rPr>
                <w:rFonts w:ascii="Times New Roman" w:hAnsi="Times New Roman" w:cs="Times New Roman"/>
                <w:bCs/>
              </w:rPr>
              <w:t xml:space="preserve">os Srs. Joubert Luiz Zanatta, </w:t>
            </w:r>
            <w:r w:rsidRPr="00DB7F7D">
              <w:rPr>
                <w:rFonts w:ascii="Times New Roman" w:eastAsia="Calibri" w:hAnsi="Times New Roman" w:cs="Times New Roman"/>
                <w:bCs/>
              </w:rPr>
              <w:t xml:space="preserve">Ricardo </w:t>
            </w:r>
            <w:proofErr w:type="spellStart"/>
            <w:r w:rsidRPr="00DB7F7D">
              <w:rPr>
                <w:rFonts w:ascii="Times New Roman" w:eastAsia="Calibri" w:hAnsi="Times New Roman" w:cs="Times New Roman"/>
                <w:bCs/>
              </w:rPr>
              <w:t>Einloft</w:t>
            </w:r>
            <w:proofErr w:type="spellEnd"/>
            <w:r w:rsidRPr="00DB7F7D">
              <w:rPr>
                <w:rFonts w:ascii="Times New Roman" w:eastAsia="Calibri" w:hAnsi="Times New Roman" w:cs="Times New Roman"/>
                <w:bCs/>
              </w:rPr>
              <w:t xml:space="preserve"> e Márcio </w:t>
            </w:r>
            <w:proofErr w:type="spellStart"/>
            <w:r w:rsidRPr="00DB7F7D">
              <w:rPr>
                <w:rFonts w:ascii="Times New Roman" w:eastAsia="Calibri" w:hAnsi="Times New Roman" w:cs="Times New Roman"/>
                <w:bCs/>
              </w:rPr>
              <w:t>Stahlhöfer</w:t>
            </w:r>
            <w:proofErr w:type="spellEnd"/>
            <w:r w:rsidRPr="00DB7F7D">
              <w:rPr>
                <w:rFonts w:ascii="Times New Roman" w:eastAsia="Calibri" w:hAnsi="Times New Roman" w:cs="Times New Roman"/>
                <w:bCs/>
              </w:rPr>
              <w:t>,</w:t>
            </w:r>
            <w:r w:rsidRPr="00DB7F7D">
              <w:rPr>
                <w:rFonts w:ascii="Times New Roman" w:hAnsi="Times New Roman" w:cs="Times New Roman"/>
              </w:rPr>
              <w:t xml:space="preserve"> </w:t>
            </w:r>
            <w:r w:rsidRPr="00DB7F7D">
              <w:rPr>
                <w:rFonts w:ascii="Times New Roman" w:eastAsia="Calibri" w:hAnsi="Times New Roman" w:cs="Times New Roman"/>
              </w:rPr>
              <w:t xml:space="preserve">para o acompanhamento formal nos aspectos administrativos, procedimentais contábeis, além do acompanhamento e fiscalização dos serviços, devendo registrar em relatório todas as ocorrências e as deficiências, </w:t>
            </w:r>
            <w:r w:rsidRPr="00DB7F7D">
              <w:rPr>
                <w:rFonts w:ascii="Times New Roman" w:hAnsi="Times New Roman" w:cs="Times New Roman"/>
              </w:rPr>
              <w:t>nos termos da Lei, consolidada</w:t>
            </w:r>
            <w:r w:rsidRPr="00DB7F7D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76940585" w14:textId="77777777" w:rsidR="00ED34AF" w:rsidRPr="00DB7F7D" w:rsidRDefault="00ED34AF" w:rsidP="005E711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23D97309" w14:textId="27A4A871" w:rsidR="005A3309" w:rsidRPr="00DB7F7D" w:rsidRDefault="00ED34AF" w:rsidP="005E711F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DB7F7D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DB7F7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B7F7D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ED34AF" w:rsidRPr="00DB7F7D" w14:paraId="7A77A513" w14:textId="77777777" w:rsidTr="001D4741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B26" w14:textId="77777777" w:rsidR="00ED34AF" w:rsidRPr="00DB7F7D" w:rsidRDefault="00ED34AF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635" w14:textId="77777777" w:rsidR="00ED34AF" w:rsidRPr="00DB7F7D" w:rsidRDefault="00ED34AF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7F7D">
              <w:rPr>
                <w:rFonts w:ascii="Times New Roman" w:eastAsia="Times New Roman" w:hAnsi="Times New Roman" w:cs="Times New Roman"/>
                <w:b/>
              </w:rPr>
              <w:t>Modelo de execução do objeto</w:t>
            </w:r>
          </w:p>
          <w:p w14:paraId="3E9BCF97" w14:textId="73F15BD9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</w:rPr>
              <w:t xml:space="preserve">As empresas, </w:t>
            </w:r>
            <w:r w:rsidRPr="00DB7F7D">
              <w:rPr>
                <w:rFonts w:ascii="Times New Roman" w:eastAsia="Times New Roman" w:hAnsi="Times New Roman" w:cs="Times New Roman"/>
              </w:rPr>
              <w:t xml:space="preserve">arrematantes da licitação deverão </w:t>
            </w:r>
            <w:r w:rsidRPr="00DB7F7D">
              <w:rPr>
                <w:rFonts w:ascii="Times New Roman" w:eastAsia="Times New Roman" w:hAnsi="Times New Roman" w:cs="Times New Roman"/>
                <w:color w:val="000000"/>
              </w:rPr>
              <w:t xml:space="preserve">responsabilizar-se, às suas expensas, pelos itens compatíveis com o objeto da licitação solicitado pela secretaria responsável, sob pena de penalidade para a empresa caso não cumpra o exigido no Edital. </w:t>
            </w:r>
          </w:p>
        </w:tc>
      </w:tr>
      <w:tr w:rsidR="005A3309" w:rsidRPr="00DB7F7D" w14:paraId="61B5EE1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E3C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087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Critérios de medição e de pagamento</w:t>
            </w:r>
          </w:p>
          <w:p w14:paraId="5E93394F" w14:textId="77777777" w:rsidR="00ED34AF" w:rsidRPr="00DB7F7D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Para o pagamento pela Administração Pública Municipal, será observada a ordem cronológica para cada fonte diferenciada de recursos, devendo ser apresentado a nota fiscal devidamente atestado pelo servidor responsável. O pagamento será efetuado em até </w:t>
            </w:r>
            <w:r w:rsidRPr="00DB7F7D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DB7F7D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solicitação/planilha e dias trabalhados, mediante transferência na conta corrente da contratada ou emissão de boleto bancário. </w:t>
            </w:r>
          </w:p>
          <w:p w14:paraId="510A6490" w14:textId="77777777" w:rsidR="00ED34AF" w:rsidRPr="00DB7F7D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lastRenderedPageBreak/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117781BD" w14:textId="30B8F69E" w:rsidR="008E118B" w:rsidRPr="00DB7F7D" w:rsidRDefault="008E118B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A registrada deverá emitir nota fiscal e planilha contendo quantitativos, nome e assinatura do servidor público municipal responsável, conforme modelo disponibilizado pela administração municipal.</w:t>
            </w:r>
          </w:p>
          <w:p w14:paraId="16C0D27D" w14:textId="65BCA7A0" w:rsidR="00ED34AF" w:rsidRPr="00DB7F7D" w:rsidRDefault="00ED34AF" w:rsidP="005E711F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  <w:r w:rsidRPr="00DB7F7D">
              <w:rPr>
                <w:rFonts w:ascii="Times New Roman" w:hAnsi="Times New Roman" w:cs="Times New Roman"/>
              </w:rPr>
              <w:t xml:space="preserve"> </w:t>
            </w:r>
          </w:p>
          <w:p w14:paraId="52069604" w14:textId="7E57C7A5" w:rsidR="005A3309" w:rsidRPr="00DB7F7D" w:rsidRDefault="00ED34AF" w:rsidP="005E71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Será de responsabilidade do licitante o recolhimento de todos os impostos inerentes ao objeto, caso não venha impresso na nota fiscal, os descontos poderão ser providenciados pela administração municipal.</w:t>
            </w:r>
          </w:p>
        </w:tc>
      </w:tr>
      <w:tr w:rsidR="003974A9" w:rsidRPr="00DB7F7D" w14:paraId="61A3226F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F94" w14:textId="77777777" w:rsidR="003974A9" w:rsidRPr="00DB7F7D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A49" w14:textId="77777777" w:rsidR="003974A9" w:rsidRPr="00DB7F7D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66F50A90" w14:textId="4CFEF3D1" w:rsidR="003974A9" w:rsidRPr="00DB7F7D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5A3309" w:rsidRPr="00DB7F7D" w14:paraId="52CC2E76" w14:textId="77777777" w:rsidTr="0056659C">
        <w:trPr>
          <w:trHeight w:val="2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17B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676" w14:textId="77777777" w:rsidR="005A3309" w:rsidRPr="00DB7F7D" w:rsidRDefault="005A330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</w:t>
            </w:r>
            <w:r w:rsidRPr="00DB7F7D">
              <w:rPr>
                <w:rFonts w:ascii="Times New Roman" w:hAnsi="Times New Roman" w:cs="Times New Roman"/>
              </w:rPr>
              <w:t>.</w:t>
            </w:r>
          </w:p>
          <w:p w14:paraId="31021B2F" w14:textId="3566CAB9" w:rsidR="00ED34AF" w:rsidRPr="00DB7F7D" w:rsidRDefault="00ED34AF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 xml:space="preserve">O custo estimado total da contratação </w:t>
            </w:r>
            <w:r w:rsidRPr="006F7C3C">
              <w:rPr>
                <w:rFonts w:ascii="Times New Roman" w:hAnsi="Times New Roman" w:cs="Times New Roman"/>
              </w:rPr>
              <w:t xml:space="preserve">é de </w:t>
            </w:r>
            <w:r w:rsidRPr="006F7C3C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3D60A9" w:rsidRPr="006F7C3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3.601.964,00</w:t>
            </w:r>
            <w:r w:rsidR="003D60A9" w:rsidRPr="006F7C3C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6F7C3C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3D60A9" w:rsidRPr="006F7C3C">
              <w:rPr>
                <w:rFonts w:ascii="Times New Roman" w:eastAsia="Times New Roman" w:hAnsi="Times New Roman" w:cs="Times New Roman"/>
                <w:lang w:eastAsia="pt-BR"/>
              </w:rPr>
              <w:t>três</w:t>
            </w:r>
            <w:r w:rsidR="003D60A9">
              <w:rPr>
                <w:rFonts w:ascii="Times New Roman" w:eastAsia="Times New Roman" w:hAnsi="Times New Roman" w:cs="Times New Roman"/>
                <w:lang w:eastAsia="pt-BR"/>
              </w:rPr>
              <w:t xml:space="preserve"> milhões, seiscentos e um mil, </w:t>
            </w:r>
            <w:r w:rsidR="002E381E">
              <w:rPr>
                <w:rFonts w:ascii="Times New Roman" w:eastAsia="Times New Roman" w:hAnsi="Times New Roman" w:cs="Times New Roman"/>
                <w:lang w:eastAsia="pt-BR"/>
              </w:rPr>
              <w:t>novecentos</w:t>
            </w:r>
            <w:r w:rsidR="003D60A9">
              <w:rPr>
                <w:rFonts w:ascii="Times New Roman" w:eastAsia="Times New Roman" w:hAnsi="Times New Roman" w:cs="Times New Roman"/>
                <w:lang w:eastAsia="pt-BR"/>
              </w:rPr>
              <w:t xml:space="preserve"> e sessenta e quatro reais</w:t>
            </w:r>
            <w:r w:rsidRPr="00DB7F7D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 w:rsidRPr="00DB7F7D">
              <w:rPr>
                <w:rFonts w:ascii="Times New Roman" w:hAnsi="Times New Roman" w:cs="Times New Roman"/>
              </w:rPr>
              <w:t xml:space="preserve"> conforme metodologia estipulado no Item 6, do Estudo técnico preliminar.</w:t>
            </w:r>
          </w:p>
          <w:tbl>
            <w:tblPr>
              <w:tblStyle w:val="Tabelacomgrade"/>
              <w:tblW w:w="9244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996"/>
              <w:gridCol w:w="1116"/>
              <w:gridCol w:w="1206"/>
              <w:gridCol w:w="1206"/>
              <w:gridCol w:w="982"/>
            </w:tblGrid>
            <w:tr w:rsidR="00ED34AF" w:rsidRPr="00DB7F7D" w14:paraId="6384B9C1" w14:textId="34F3219F" w:rsidTr="0056659C">
              <w:tc>
                <w:tcPr>
                  <w:tcW w:w="738" w:type="dxa"/>
                </w:tcPr>
                <w:p w14:paraId="0BA83CD5" w14:textId="77777777" w:rsidR="00ED34AF" w:rsidRPr="00DB7F7D" w:rsidRDefault="00ED34AF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996" w:type="dxa"/>
                </w:tcPr>
                <w:p w14:paraId="50327CC3" w14:textId="77777777" w:rsidR="00ED34AF" w:rsidRPr="00DB7F7D" w:rsidRDefault="00ED34AF" w:rsidP="005E71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 xml:space="preserve">                           descrição</w:t>
                  </w:r>
                </w:p>
              </w:tc>
              <w:tc>
                <w:tcPr>
                  <w:tcW w:w="1116" w:type="dxa"/>
                </w:tcPr>
                <w:p w14:paraId="3BE92652" w14:textId="77777777" w:rsidR="00ED34AF" w:rsidRPr="00DB7F7D" w:rsidRDefault="00ED34AF" w:rsidP="005E711F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DB7F7D">
                    <w:rPr>
                      <w:bCs/>
                      <w:sz w:val="22"/>
                      <w:szCs w:val="22"/>
                    </w:rPr>
                    <w:t>Und</w:t>
                  </w:r>
                  <w:proofErr w:type="spellEnd"/>
                  <w:r w:rsidRPr="00DB7F7D">
                    <w:rPr>
                      <w:bCs/>
                      <w:sz w:val="22"/>
                      <w:szCs w:val="22"/>
                    </w:rPr>
                    <w:t>. Med</w:t>
                  </w:r>
                </w:p>
              </w:tc>
              <w:tc>
                <w:tcPr>
                  <w:tcW w:w="1206" w:type="dxa"/>
                </w:tcPr>
                <w:p w14:paraId="7A6FFDB0" w14:textId="77777777" w:rsidR="00ED34AF" w:rsidRPr="00DB7F7D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 xml:space="preserve">Quant. </w:t>
                  </w:r>
                  <w:proofErr w:type="spellStart"/>
                  <w:r w:rsidRPr="00DB7F7D">
                    <w:rPr>
                      <w:bCs/>
                      <w:sz w:val="22"/>
                      <w:szCs w:val="22"/>
                    </w:rPr>
                    <w:t>Máx</w:t>
                  </w:r>
                  <w:proofErr w:type="spellEnd"/>
                </w:p>
              </w:tc>
              <w:tc>
                <w:tcPr>
                  <w:tcW w:w="1206" w:type="dxa"/>
                </w:tcPr>
                <w:p w14:paraId="35644A57" w14:textId="77777777" w:rsidR="00ED34AF" w:rsidRPr="00DB7F7D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Quant. Min</w:t>
                  </w:r>
                </w:p>
              </w:tc>
              <w:tc>
                <w:tcPr>
                  <w:tcW w:w="982" w:type="dxa"/>
                </w:tcPr>
                <w:p w14:paraId="6E5DA7C0" w14:textId="12E34D1E" w:rsidR="00ED34AF" w:rsidRPr="00DB7F7D" w:rsidRDefault="00ED34AF" w:rsidP="005E711F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Valor Unit. R$</w:t>
                  </w:r>
                </w:p>
              </w:tc>
            </w:tr>
            <w:tr w:rsidR="008C1FFA" w:rsidRPr="00DB7F7D" w14:paraId="3318287D" w14:textId="19F96C89" w:rsidTr="0056659C">
              <w:tc>
                <w:tcPr>
                  <w:tcW w:w="738" w:type="dxa"/>
                </w:tcPr>
                <w:p w14:paraId="75D70C42" w14:textId="77777777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996" w:type="dxa"/>
                </w:tcPr>
                <w:p w14:paraId="55FE3670" w14:textId="077615F5" w:rsidR="008C1FFA" w:rsidRPr="00DB7F7D" w:rsidRDefault="008C1FFA" w:rsidP="008C1FFA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Comum</w:t>
                  </w:r>
                </w:p>
              </w:tc>
              <w:tc>
                <w:tcPr>
                  <w:tcW w:w="1116" w:type="dxa"/>
                </w:tcPr>
                <w:p w14:paraId="147B4746" w14:textId="5835130C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06" w:type="dxa"/>
                </w:tcPr>
                <w:p w14:paraId="586A0113" w14:textId="2BE83964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80.000</w:t>
                  </w:r>
                </w:p>
              </w:tc>
              <w:tc>
                <w:tcPr>
                  <w:tcW w:w="1206" w:type="dxa"/>
                </w:tcPr>
                <w:p w14:paraId="75B81C07" w14:textId="444FEE61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5.000</w:t>
                  </w:r>
                </w:p>
              </w:tc>
              <w:tc>
                <w:tcPr>
                  <w:tcW w:w="982" w:type="dxa"/>
                </w:tcPr>
                <w:p w14:paraId="10C579F2" w14:textId="11883351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sz w:val="22"/>
                      <w:szCs w:val="22"/>
                    </w:rPr>
                    <w:t>5,91</w:t>
                  </w:r>
                </w:p>
              </w:tc>
            </w:tr>
            <w:tr w:rsidR="008C1FFA" w:rsidRPr="00DB7F7D" w14:paraId="2A0AEB75" w14:textId="77777777" w:rsidTr="0056659C">
              <w:tc>
                <w:tcPr>
                  <w:tcW w:w="738" w:type="dxa"/>
                </w:tcPr>
                <w:p w14:paraId="397F3CBD" w14:textId="5734773D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96" w:type="dxa"/>
                </w:tcPr>
                <w:p w14:paraId="6149FDF8" w14:textId="0728924C" w:rsidR="008C1FFA" w:rsidRPr="00DB7F7D" w:rsidRDefault="008C1FFA" w:rsidP="008C1FFA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Gasolina Comum</w:t>
                  </w:r>
                </w:p>
              </w:tc>
              <w:tc>
                <w:tcPr>
                  <w:tcW w:w="1116" w:type="dxa"/>
                </w:tcPr>
                <w:p w14:paraId="6EA0EEBB" w14:textId="3A812668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06" w:type="dxa"/>
                </w:tcPr>
                <w:p w14:paraId="2EF35B65" w14:textId="06EE888C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100.000</w:t>
                  </w:r>
                </w:p>
              </w:tc>
              <w:tc>
                <w:tcPr>
                  <w:tcW w:w="1206" w:type="dxa"/>
                </w:tcPr>
                <w:p w14:paraId="4905F50D" w14:textId="02AC1EF1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10.000</w:t>
                  </w:r>
                </w:p>
              </w:tc>
              <w:tc>
                <w:tcPr>
                  <w:tcW w:w="982" w:type="dxa"/>
                </w:tcPr>
                <w:p w14:paraId="0496D8E1" w14:textId="31255E34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sz w:val="22"/>
                      <w:szCs w:val="22"/>
                    </w:rPr>
                    <w:t>5,99</w:t>
                  </w:r>
                </w:p>
              </w:tc>
            </w:tr>
            <w:tr w:rsidR="008C1FFA" w:rsidRPr="00DB7F7D" w14:paraId="67801294" w14:textId="77777777" w:rsidTr="0056659C">
              <w:tc>
                <w:tcPr>
                  <w:tcW w:w="738" w:type="dxa"/>
                </w:tcPr>
                <w:p w14:paraId="6C72C94A" w14:textId="3346211D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996" w:type="dxa"/>
                </w:tcPr>
                <w:p w14:paraId="0AA10097" w14:textId="07AB317C" w:rsidR="008C1FFA" w:rsidRPr="00DB7F7D" w:rsidRDefault="008C1FFA" w:rsidP="008C1FFA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Óleo Diesel S10</w:t>
                  </w:r>
                </w:p>
              </w:tc>
              <w:tc>
                <w:tcPr>
                  <w:tcW w:w="1116" w:type="dxa"/>
                </w:tcPr>
                <w:p w14:paraId="5DA05920" w14:textId="4D962362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06" w:type="dxa"/>
                </w:tcPr>
                <w:p w14:paraId="6B880A46" w14:textId="07F926D3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420.000</w:t>
                  </w:r>
                </w:p>
              </w:tc>
              <w:tc>
                <w:tcPr>
                  <w:tcW w:w="1206" w:type="dxa"/>
                </w:tcPr>
                <w:p w14:paraId="5CFEFD9D" w14:textId="55F8B3EE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100.000</w:t>
                  </w:r>
                </w:p>
              </w:tc>
              <w:tc>
                <w:tcPr>
                  <w:tcW w:w="982" w:type="dxa"/>
                </w:tcPr>
                <w:p w14:paraId="3D545650" w14:textId="019BB814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sz w:val="22"/>
                      <w:szCs w:val="22"/>
                    </w:rPr>
                    <w:t>5,99</w:t>
                  </w:r>
                </w:p>
              </w:tc>
            </w:tr>
            <w:tr w:rsidR="008C1FFA" w:rsidRPr="00DB7F7D" w14:paraId="1842D356" w14:textId="77777777" w:rsidTr="0056659C">
              <w:tc>
                <w:tcPr>
                  <w:tcW w:w="738" w:type="dxa"/>
                </w:tcPr>
                <w:p w14:paraId="6497553B" w14:textId="2192D152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996" w:type="dxa"/>
                </w:tcPr>
                <w:p w14:paraId="1CAD91C0" w14:textId="13D84F6E" w:rsidR="008C1FFA" w:rsidRPr="00DB7F7D" w:rsidRDefault="008C1FFA" w:rsidP="008C1FFA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</w:rPr>
                  </w:pPr>
                  <w:r w:rsidRPr="00DB7F7D">
                    <w:rPr>
                      <w:rFonts w:ascii="Times New Roman" w:hAnsi="Times New Roman" w:cs="Times New Roman"/>
                      <w:caps/>
                    </w:rPr>
                    <w:t>Arla 32 a granel</w:t>
                  </w:r>
                </w:p>
              </w:tc>
              <w:tc>
                <w:tcPr>
                  <w:tcW w:w="1116" w:type="dxa"/>
                </w:tcPr>
                <w:p w14:paraId="49BD3A02" w14:textId="6C6BE6DB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Litros</w:t>
                  </w:r>
                </w:p>
              </w:tc>
              <w:tc>
                <w:tcPr>
                  <w:tcW w:w="1206" w:type="dxa"/>
                </w:tcPr>
                <w:p w14:paraId="7B672E99" w14:textId="1A919459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rFonts w:eastAsia="Arial Unicode MS"/>
                      <w:sz w:val="22"/>
                      <w:szCs w:val="22"/>
                    </w:rPr>
                    <w:t>3.600</w:t>
                  </w:r>
                </w:p>
              </w:tc>
              <w:tc>
                <w:tcPr>
                  <w:tcW w:w="1206" w:type="dxa"/>
                </w:tcPr>
                <w:p w14:paraId="4073958C" w14:textId="544C9F43" w:rsidR="008C1FFA" w:rsidRPr="00DB7F7D" w:rsidRDefault="008C1FFA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82" w:type="dxa"/>
                </w:tcPr>
                <w:p w14:paraId="2D3D0057" w14:textId="2BE65CEC" w:rsidR="008C1FFA" w:rsidRPr="00DB7F7D" w:rsidRDefault="00DB7F7D" w:rsidP="008C1FFA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B7F7D">
                    <w:rPr>
                      <w:bCs/>
                      <w:sz w:val="22"/>
                      <w:szCs w:val="22"/>
                    </w:rPr>
                    <w:t>3,99</w:t>
                  </w:r>
                </w:p>
              </w:tc>
            </w:tr>
          </w:tbl>
          <w:p w14:paraId="53CF4D10" w14:textId="4CCF2706" w:rsidR="00516131" w:rsidRPr="00DB7F7D" w:rsidRDefault="00516131" w:rsidP="00516131">
            <w:pPr>
              <w:tabs>
                <w:tab w:val="left" w:pos="1547"/>
              </w:tabs>
              <w:rPr>
                <w:rFonts w:ascii="Times New Roman" w:hAnsi="Times New Roman" w:cs="Times New Roman"/>
              </w:rPr>
            </w:pPr>
          </w:p>
        </w:tc>
      </w:tr>
      <w:tr w:rsidR="005A3309" w:rsidRPr="00DB7F7D" w14:paraId="5F8FEA52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BD3" w14:textId="77777777" w:rsidR="005A3309" w:rsidRPr="00DB7F7D" w:rsidRDefault="005A330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BA8" w14:textId="77777777" w:rsidR="003974A9" w:rsidRPr="00DB7F7D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1938DBEA" w14:textId="0ED3FE0E" w:rsidR="001F7A76" w:rsidRPr="00DB7F7D" w:rsidRDefault="001F7A76" w:rsidP="001F7A76">
            <w:pPr>
              <w:pStyle w:val="Default"/>
              <w:rPr>
                <w:sz w:val="22"/>
                <w:szCs w:val="22"/>
              </w:rPr>
            </w:pPr>
            <w:r w:rsidRPr="00DB7F7D">
              <w:rPr>
                <w:sz w:val="22"/>
                <w:szCs w:val="22"/>
              </w:rPr>
              <w:t xml:space="preserve">O fornecimento dar-se-á a partir </w:t>
            </w:r>
            <w:r w:rsidR="00B01E05" w:rsidRPr="00DB7F7D">
              <w:rPr>
                <w:sz w:val="22"/>
                <w:szCs w:val="22"/>
              </w:rPr>
              <w:t>de 1 de janeiro de 2025</w:t>
            </w:r>
            <w:r w:rsidRPr="00DB7F7D">
              <w:rPr>
                <w:sz w:val="22"/>
                <w:szCs w:val="22"/>
              </w:rPr>
              <w:t xml:space="preserve">. </w:t>
            </w:r>
          </w:p>
          <w:p w14:paraId="65C86125" w14:textId="77777777" w:rsidR="005F04C7" w:rsidRPr="00DB7F7D" w:rsidRDefault="005F04C7" w:rsidP="005F04C7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DB7F7D">
              <w:rPr>
                <w:rFonts w:ascii="Times New Roman" w:eastAsia="Calibri" w:hAnsi="Times New Roman" w:cs="Times New Roman"/>
                <w:bCs/>
                <w:u w:val="single"/>
              </w:rPr>
              <w:t>O combustível será entregue imediatamente no Posto de Abastecimento indicado pela Contratada, com entrega parcelada e contínua mediante a apresentação de Requisições de Abastecimento emitidas e autorizadas pelo Contratante.</w:t>
            </w:r>
          </w:p>
          <w:p w14:paraId="5343A354" w14:textId="2B8B4251" w:rsidR="005F04C7" w:rsidRPr="00DB7F7D" w:rsidRDefault="005F04C7" w:rsidP="005F04C7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DB7F7D">
              <w:rPr>
                <w:rFonts w:ascii="Times New Roman" w:eastAsia="Calibri" w:hAnsi="Times New Roman" w:cs="Times New Roman"/>
                <w:bCs/>
              </w:rPr>
              <w:t>Os serviços de abastecimento de combustível em veículos/máquinas oficiais serão requisitados pelos Departamentos do Município de Palmitos - SC, mediante apresentação de formulário próprio.</w:t>
            </w:r>
          </w:p>
          <w:p w14:paraId="1EA80B0F" w14:textId="77777777" w:rsidR="003974A9" w:rsidRPr="00DB7F7D" w:rsidRDefault="003974A9" w:rsidP="005E7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7F7D">
              <w:rPr>
                <w:rFonts w:ascii="Times New Roman" w:hAnsi="Times New Roman" w:cs="Times New Roman"/>
              </w:rPr>
              <w:t>Durante a vigência do contrato, a empresa fica obrigada a fornecer os produtos de acordo com o valor proposto, nas quantidades solicitadas e nos prazos estipulados pelo contrato.</w:t>
            </w:r>
          </w:p>
          <w:p w14:paraId="0974C400" w14:textId="59406493" w:rsidR="005E711F" w:rsidRPr="00DB7F7D" w:rsidRDefault="003974A9" w:rsidP="005E71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B7F7D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</w:tc>
      </w:tr>
      <w:tr w:rsidR="003974A9" w:rsidRPr="00DB7F7D" w14:paraId="70780244" w14:textId="77777777" w:rsidTr="001D47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31" w14:textId="77777777" w:rsidR="003974A9" w:rsidRPr="00DB7F7D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AF6" w14:textId="77777777" w:rsidR="003974A9" w:rsidRPr="00DB7F7D" w:rsidRDefault="003974A9" w:rsidP="005E71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7F7D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3380D4FF" w14:textId="1FA7F13D" w:rsidR="00276263" w:rsidRPr="00DB7F7D" w:rsidRDefault="003974A9" w:rsidP="006C1CC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DB7F7D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DB7F7D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3974A9" w:rsidRPr="00DB7F7D" w14:paraId="5AB74FE3" w14:textId="77777777" w:rsidTr="001D4741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095" w14:textId="77777777" w:rsidR="003974A9" w:rsidRPr="00DB7F7D" w:rsidRDefault="003974A9" w:rsidP="005E711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3D9" w14:textId="77777777" w:rsidR="003974A9" w:rsidRPr="00DB7F7D" w:rsidRDefault="003974A9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F7D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22741787" w14:textId="0E3CA06F" w:rsidR="00B01E05" w:rsidRPr="00DB7F7D" w:rsidRDefault="008A6798" w:rsidP="005E711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F7D">
              <w:rPr>
                <w:rFonts w:ascii="Times New Roman" w:hAnsi="Times New Roman" w:cs="Times New Roman"/>
                <w:color w:val="000000"/>
              </w:rPr>
              <w:t>A garantia consiste na prestação pela empresa, de todas as obrigações previstas na Lei no 8.078, de 11/09/1990 – Código de Defesa do Consumidor – e alterações subsequentes</w:t>
            </w:r>
          </w:p>
        </w:tc>
      </w:tr>
    </w:tbl>
    <w:p w14:paraId="11ACC766" w14:textId="52D7E0A9" w:rsidR="005A3309" w:rsidRPr="00DB7F7D" w:rsidRDefault="005A3309" w:rsidP="00044F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DB7F7D">
        <w:rPr>
          <w:rFonts w:ascii="Times New Roman" w:hAnsi="Times New Roman" w:cs="Times New Roman"/>
          <w:b/>
        </w:rPr>
        <w:t xml:space="preserve">Palmitos SC, </w:t>
      </w:r>
      <w:r w:rsidR="003D085D" w:rsidRPr="00DB7F7D">
        <w:rPr>
          <w:rFonts w:ascii="Times New Roman" w:hAnsi="Times New Roman" w:cs="Times New Roman"/>
          <w:b/>
        </w:rPr>
        <w:t>02</w:t>
      </w:r>
      <w:r w:rsidR="004F68C7" w:rsidRPr="00DB7F7D">
        <w:rPr>
          <w:rFonts w:ascii="Times New Roman" w:hAnsi="Times New Roman" w:cs="Times New Roman"/>
          <w:b/>
        </w:rPr>
        <w:t xml:space="preserve"> de </w:t>
      </w:r>
      <w:r w:rsidR="003D085D" w:rsidRPr="00DB7F7D">
        <w:rPr>
          <w:rFonts w:ascii="Times New Roman" w:hAnsi="Times New Roman" w:cs="Times New Roman"/>
          <w:b/>
        </w:rPr>
        <w:t>dez</w:t>
      </w:r>
      <w:r w:rsidR="007F7031" w:rsidRPr="00DB7F7D">
        <w:rPr>
          <w:rFonts w:ascii="Times New Roman" w:hAnsi="Times New Roman" w:cs="Times New Roman"/>
          <w:b/>
        </w:rPr>
        <w:t>embro</w:t>
      </w:r>
      <w:r w:rsidRPr="00DB7F7D">
        <w:rPr>
          <w:rFonts w:ascii="Times New Roman" w:hAnsi="Times New Roman" w:cs="Times New Roman"/>
          <w:b/>
        </w:rPr>
        <w:t xml:space="preserve"> de 202</w:t>
      </w:r>
      <w:r w:rsidR="007F7031" w:rsidRPr="00DB7F7D">
        <w:rPr>
          <w:rFonts w:ascii="Times New Roman" w:hAnsi="Times New Roman" w:cs="Times New Roman"/>
          <w:b/>
        </w:rPr>
        <w:t>4</w:t>
      </w:r>
    </w:p>
    <w:p w14:paraId="63E61465" w14:textId="77777777" w:rsidR="00044F53" w:rsidRPr="00DB7F7D" w:rsidRDefault="00044F53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744333" w14:textId="77777777" w:rsidR="00B215FF" w:rsidRPr="00DB7F7D" w:rsidRDefault="00B215FF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793A66" w14:textId="77777777" w:rsidR="00B215FF" w:rsidRPr="00DB7F7D" w:rsidRDefault="00B215FF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EE2F1D" w14:textId="77777777" w:rsidR="007B535E" w:rsidRPr="00DB7F7D" w:rsidRDefault="007B535E" w:rsidP="00044F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670899" w14:textId="77777777" w:rsidR="00044F53" w:rsidRPr="00DB7F7D" w:rsidRDefault="00044F53" w:rsidP="00044F53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  <w:sectPr w:rsidR="00044F53" w:rsidRPr="00DB7F7D" w:rsidSect="00031482">
          <w:footerReference w:type="default" r:id="rId14"/>
          <w:pgSz w:w="11906" w:h="16838"/>
          <w:pgMar w:top="851" w:right="1701" w:bottom="568" w:left="1701" w:header="708" w:footer="708" w:gutter="0"/>
          <w:cols w:space="708"/>
          <w:docGrid w:linePitch="360"/>
        </w:sectPr>
      </w:pPr>
    </w:p>
    <w:p w14:paraId="31D6735C" w14:textId="77777777" w:rsidR="003D085D" w:rsidRPr="00DB7F7D" w:rsidRDefault="003D085D" w:rsidP="003D085D">
      <w:pPr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0B146F6F" w14:textId="482A5CFB" w:rsidR="003D085D" w:rsidRPr="00DB7F7D" w:rsidRDefault="003D085D" w:rsidP="003D085D">
      <w:pPr>
        <w:spacing w:after="0" w:line="240" w:lineRule="auto"/>
        <w:ind w:right="191"/>
        <w:rPr>
          <w:rFonts w:ascii="Times New Roman" w:eastAsia="Arial MT" w:hAnsi="Times New Roman" w:cs="Times New Roman"/>
        </w:rPr>
      </w:pPr>
      <w:r w:rsidRPr="00DB7F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64373" wp14:editId="3094666E">
                <wp:simplePos x="0" y="0"/>
                <wp:positionH relativeFrom="column">
                  <wp:posOffset>384175</wp:posOffset>
                </wp:positionH>
                <wp:positionV relativeFrom="paragraph">
                  <wp:posOffset>130810</wp:posOffset>
                </wp:positionV>
                <wp:extent cx="2952750" cy="9525"/>
                <wp:effectExtent l="0" t="0" r="19050" b="28575"/>
                <wp:wrapNone/>
                <wp:docPr id="1159988017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AEB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0.3pt" to="262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A03B517" w14:textId="77777777" w:rsidR="003D085D" w:rsidRPr="00DB7F7D" w:rsidRDefault="003D085D" w:rsidP="003D085D">
      <w:pPr>
        <w:tabs>
          <w:tab w:val="left" w:pos="1635"/>
        </w:tabs>
        <w:spacing w:after="0" w:line="240" w:lineRule="auto"/>
        <w:ind w:right="191"/>
        <w:rPr>
          <w:rFonts w:ascii="Times New Roman" w:eastAsia="Arial MT" w:hAnsi="Times New Roman" w:cs="Times New Roman"/>
          <w:bCs/>
        </w:rPr>
      </w:pPr>
      <w:r w:rsidRPr="00DB7F7D">
        <w:rPr>
          <w:rFonts w:ascii="Times New Roman" w:eastAsia="Arial MT" w:hAnsi="Times New Roman" w:cs="Times New Roman"/>
          <w:bCs/>
        </w:rPr>
        <w:t xml:space="preserve">             Rodrigo Henrique </w:t>
      </w:r>
      <w:proofErr w:type="spellStart"/>
      <w:r w:rsidRPr="00DB7F7D">
        <w:rPr>
          <w:rFonts w:ascii="Times New Roman" w:eastAsia="Arial MT" w:hAnsi="Times New Roman" w:cs="Times New Roman"/>
          <w:bCs/>
        </w:rPr>
        <w:t>Timm</w:t>
      </w:r>
      <w:proofErr w:type="spellEnd"/>
    </w:p>
    <w:p w14:paraId="6B46FCEF" w14:textId="77777777" w:rsidR="003D085D" w:rsidRPr="00DB7F7D" w:rsidRDefault="003D085D" w:rsidP="003D085D">
      <w:pPr>
        <w:tabs>
          <w:tab w:val="left" w:pos="1635"/>
        </w:tabs>
        <w:spacing w:after="0" w:line="240" w:lineRule="auto"/>
        <w:ind w:right="191"/>
        <w:rPr>
          <w:rFonts w:ascii="Times New Roman" w:eastAsia="Arial MT" w:hAnsi="Times New Roman" w:cs="Times New Roman"/>
        </w:rPr>
      </w:pPr>
      <w:r w:rsidRPr="00DB7F7D">
        <w:rPr>
          <w:rFonts w:ascii="Times New Roman" w:eastAsia="Arial MT" w:hAnsi="Times New Roman" w:cs="Times New Roman"/>
          <w:bCs/>
        </w:rPr>
        <w:t xml:space="preserve">             Secretário de Administração, Finanças e Planejamento</w:t>
      </w:r>
    </w:p>
    <w:p w14:paraId="2EFA80DE" w14:textId="77777777" w:rsidR="00044F53" w:rsidRPr="00DB7F7D" w:rsidRDefault="00044F53" w:rsidP="00044F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9327CD" w14:textId="570594E7" w:rsidR="003F6A76" w:rsidRPr="00DB7F7D" w:rsidRDefault="003F6A76" w:rsidP="005E711F">
      <w:pPr>
        <w:spacing w:after="0" w:line="240" w:lineRule="auto"/>
        <w:rPr>
          <w:rFonts w:ascii="Times New Roman" w:hAnsi="Times New Roman" w:cs="Times New Roman"/>
        </w:rPr>
      </w:pPr>
    </w:p>
    <w:sectPr w:rsidR="003F6A76" w:rsidRPr="00DB7F7D" w:rsidSect="00044F53">
      <w:type w:val="continuous"/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619A6" w14:textId="77777777" w:rsidR="00167410" w:rsidRDefault="00167410" w:rsidP="003F6A76">
      <w:pPr>
        <w:spacing w:after="0" w:line="240" w:lineRule="auto"/>
      </w:pPr>
      <w:r>
        <w:separator/>
      </w:r>
    </w:p>
  </w:endnote>
  <w:endnote w:type="continuationSeparator" w:id="0">
    <w:p w14:paraId="3CC69950" w14:textId="77777777" w:rsidR="00167410" w:rsidRDefault="00167410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3E73" w14:textId="77777777" w:rsidR="00F84EF1" w:rsidRPr="007A2723" w:rsidRDefault="00F84EF1" w:rsidP="007A2723">
    <w:pPr>
      <w:pStyle w:val="Rodap"/>
      <w:tabs>
        <w:tab w:val="clear" w:pos="8504"/>
      </w:tabs>
      <w:ind w:left="-993" w:right="-99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210C" w14:textId="77777777" w:rsidR="00167410" w:rsidRDefault="00167410" w:rsidP="003F6A76">
      <w:pPr>
        <w:spacing w:after="0" w:line="240" w:lineRule="auto"/>
      </w:pPr>
      <w:r>
        <w:separator/>
      </w:r>
    </w:p>
  </w:footnote>
  <w:footnote w:type="continuationSeparator" w:id="0">
    <w:p w14:paraId="7F6C765D" w14:textId="77777777" w:rsidR="00167410" w:rsidRDefault="00167410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AE3"/>
    <w:multiLevelType w:val="hybridMultilevel"/>
    <w:tmpl w:val="707A5B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2D1"/>
    <w:multiLevelType w:val="hybridMultilevel"/>
    <w:tmpl w:val="27C8A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 w:hint="default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  <w:rPr>
        <w:rFonts w:hint="default"/>
      </w:rPr>
    </w:lvl>
    <w:lvl w:ilvl="4" w:tplc="2AB2471E">
      <w:numFmt w:val="bullet"/>
      <w:lvlText w:val="•"/>
      <w:lvlJc w:val="left"/>
      <w:pPr>
        <w:ind w:left="3254" w:hanging="550"/>
      </w:pPr>
      <w:rPr>
        <w:rFonts w:hint="default"/>
      </w:rPr>
    </w:lvl>
    <w:lvl w:ilvl="5" w:tplc="DA6627E4">
      <w:numFmt w:val="bullet"/>
      <w:lvlText w:val="•"/>
      <w:lvlJc w:val="left"/>
      <w:pPr>
        <w:ind w:left="4522" w:hanging="550"/>
      </w:pPr>
      <w:rPr>
        <w:rFonts w:hint="default"/>
      </w:rPr>
    </w:lvl>
    <w:lvl w:ilvl="6" w:tplc="D99A7574">
      <w:numFmt w:val="bullet"/>
      <w:lvlText w:val="•"/>
      <w:lvlJc w:val="left"/>
      <w:pPr>
        <w:ind w:left="5789" w:hanging="550"/>
      </w:pPr>
      <w:rPr>
        <w:rFonts w:hint="default"/>
      </w:rPr>
    </w:lvl>
    <w:lvl w:ilvl="7" w:tplc="6B9A7F7E">
      <w:numFmt w:val="bullet"/>
      <w:lvlText w:val="•"/>
      <w:lvlJc w:val="left"/>
      <w:pPr>
        <w:ind w:left="7057" w:hanging="550"/>
      </w:pPr>
      <w:rPr>
        <w:rFonts w:hint="default"/>
      </w:rPr>
    </w:lvl>
    <w:lvl w:ilvl="8" w:tplc="98E4E478">
      <w:numFmt w:val="bullet"/>
      <w:lvlText w:val="•"/>
      <w:lvlJc w:val="left"/>
      <w:pPr>
        <w:ind w:left="8324" w:hanging="550"/>
      </w:pPr>
      <w:rPr>
        <w:rFonts w:hint="default"/>
      </w:rPr>
    </w:lvl>
  </w:abstractNum>
  <w:abstractNum w:abstractNumId="3" w15:restartNumberingAfterBreak="0">
    <w:nsid w:val="107F15C5"/>
    <w:multiLevelType w:val="hybridMultilevel"/>
    <w:tmpl w:val="D38AF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5" w15:restartNumberingAfterBreak="0">
    <w:nsid w:val="27FA63A5"/>
    <w:multiLevelType w:val="hybridMultilevel"/>
    <w:tmpl w:val="E6AE2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25B1"/>
    <w:multiLevelType w:val="hybridMultilevel"/>
    <w:tmpl w:val="CE9E0DEE"/>
    <w:lvl w:ilvl="0" w:tplc="9E522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504C0"/>
    <w:multiLevelType w:val="hybridMultilevel"/>
    <w:tmpl w:val="C3D8BD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6A"/>
    <w:multiLevelType w:val="hybridMultilevel"/>
    <w:tmpl w:val="2F5E7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02EF"/>
    <w:multiLevelType w:val="hybridMultilevel"/>
    <w:tmpl w:val="96A262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3425">
    <w:abstractNumId w:val="8"/>
  </w:num>
  <w:num w:numId="2" w16cid:durableId="1588075844">
    <w:abstractNumId w:val="6"/>
  </w:num>
  <w:num w:numId="3" w16cid:durableId="2024669859">
    <w:abstractNumId w:val="0"/>
  </w:num>
  <w:num w:numId="4" w16cid:durableId="1702171819">
    <w:abstractNumId w:val="5"/>
  </w:num>
  <w:num w:numId="5" w16cid:durableId="460077005">
    <w:abstractNumId w:val="10"/>
  </w:num>
  <w:num w:numId="6" w16cid:durableId="1778669835">
    <w:abstractNumId w:val="12"/>
  </w:num>
  <w:num w:numId="7" w16cid:durableId="1096291501">
    <w:abstractNumId w:val="11"/>
  </w:num>
  <w:num w:numId="8" w16cid:durableId="1946812667">
    <w:abstractNumId w:val="3"/>
  </w:num>
  <w:num w:numId="9" w16cid:durableId="1218325317">
    <w:abstractNumId w:val="1"/>
  </w:num>
  <w:num w:numId="10" w16cid:durableId="861279941">
    <w:abstractNumId w:val="7"/>
  </w:num>
  <w:num w:numId="11" w16cid:durableId="824205523">
    <w:abstractNumId w:val="2"/>
  </w:num>
  <w:num w:numId="12" w16cid:durableId="1036587148">
    <w:abstractNumId w:val="4"/>
  </w:num>
  <w:num w:numId="13" w16cid:durableId="1379092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424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445104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29728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1461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76"/>
    <w:rsid w:val="00006212"/>
    <w:rsid w:val="00014EAA"/>
    <w:rsid w:val="000253EC"/>
    <w:rsid w:val="00027F06"/>
    <w:rsid w:val="00031482"/>
    <w:rsid w:val="00044F53"/>
    <w:rsid w:val="00056810"/>
    <w:rsid w:val="00056ED5"/>
    <w:rsid w:val="0008788D"/>
    <w:rsid w:val="00094670"/>
    <w:rsid w:val="000B2CD7"/>
    <w:rsid w:val="000B35F5"/>
    <w:rsid w:val="000B3F59"/>
    <w:rsid w:val="000B7917"/>
    <w:rsid w:val="000C3696"/>
    <w:rsid w:val="000D292F"/>
    <w:rsid w:val="000F5BD7"/>
    <w:rsid w:val="00114289"/>
    <w:rsid w:val="00130607"/>
    <w:rsid w:val="00146E7F"/>
    <w:rsid w:val="001550AF"/>
    <w:rsid w:val="00167410"/>
    <w:rsid w:val="00171839"/>
    <w:rsid w:val="001770C8"/>
    <w:rsid w:val="00191E63"/>
    <w:rsid w:val="001935DB"/>
    <w:rsid w:val="001A2FA0"/>
    <w:rsid w:val="001D2339"/>
    <w:rsid w:val="001D4741"/>
    <w:rsid w:val="001E0F90"/>
    <w:rsid w:val="001E62E1"/>
    <w:rsid w:val="001F7A76"/>
    <w:rsid w:val="00221F73"/>
    <w:rsid w:val="002246D8"/>
    <w:rsid w:val="00224C45"/>
    <w:rsid w:val="00227E7E"/>
    <w:rsid w:val="00273397"/>
    <w:rsid w:val="00276263"/>
    <w:rsid w:val="002A543E"/>
    <w:rsid w:val="002A6B44"/>
    <w:rsid w:val="002D00AF"/>
    <w:rsid w:val="002E15F6"/>
    <w:rsid w:val="002E381E"/>
    <w:rsid w:val="002F0F12"/>
    <w:rsid w:val="00326D12"/>
    <w:rsid w:val="00344257"/>
    <w:rsid w:val="0035461D"/>
    <w:rsid w:val="00355184"/>
    <w:rsid w:val="00365E80"/>
    <w:rsid w:val="003974A9"/>
    <w:rsid w:val="00397691"/>
    <w:rsid w:val="003A1922"/>
    <w:rsid w:val="003B7C85"/>
    <w:rsid w:val="003C48E3"/>
    <w:rsid w:val="003D085D"/>
    <w:rsid w:val="003D60A9"/>
    <w:rsid w:val="003E30B7"/>
    <w:rsid w:val="003F6A76"/>
    <w:rsid w:val="00402CFD"/>
    <w:rsid w:val="004235DE"/>
    <w:rsid w:val="00424290"/>
    <w:rsid w:val="00425FF4"/>
    <w:rsid w:val="004302CD"/>
    <w:rsid w:val="00430953"/>
    <w:rsid w:val="00442A5E"/>
    <w:rsid w:val="00443FA4"/>
    <w:rsid w:val="00467A2C"/>
    <w:rsid w:val="00496D73"/>
    <w:rsid w:val="004B766A"/>
    <w:rsid w:val="004C0367"/>
    <w:rsid w:val="004C593B"/>
    <w:rsid w:val="004C600D"/>
    <w:rsid w:val="004F27D0"/>
    <w:rsid w:val="004F68C7"/>
    <w:rsid w:val="004F7F66"/>
    <w:rsid w:val="00503522"/>
    <w:rsid w:val="00505104"/>
    <w:rsid w:val="00507862"/>
    <w:rsid w:val="00516131"/>
    <w:rsid w:val="00517946"/>
    <w:rsid w:val="005229BF"/>
    <w:rsid w:val="005437E9"/>
    <w:rsid w:val="00547D35"/>
    <w:rsid w:val="00555C9D"/>
    <w:rsid w:val="005642C3"/>
    <w:rsid w:val="0056659C"/>
    <w:rsid w:val="005A2959"/>
    <w:rsid w:val="005A3309"/>
    <w:rsid w:val="005A3F9E"/>
    <w:rsid w:val="005D51A8"/>
    <w:rsid w:val="005E711F"/>
    <w:rsid w:val="005E7F1D"/>
    <w:rsid w:val="005F04C7"/>
    <w:rsid w:val="005F4FC2"/>
    <w:rsid w:val="00600076"/>
    <w:rsid w:val="006015C4"/>
    <w:rsid w:val="006044C0"/>
    <w:rsid w:val="00615C24"/>
    <w:rsid w:val="00642F64"/>
    <w:rsid w:val="00663BDE"/>
    <w:rsid w:val="00673C49"/>
    <w:rsid w:val="00675F7B"/>
    <w:rsid w:val="00690873"/>
    <w:rsid w:val="006A79E2"/>
    <w:rsid w:val="006C1CC2"/>
    <w:rsid w:val="006E1B9C"/>
    <w:rsid w:val="006E711B"/>
    <w:rsid w:val="006F7C3C"/>
    <w:rsid w:val="007235EB"/>
    <w:rsid w:val="007B535E"/>
    <w:rsid w:val="007B6CCD"/>
    <w:rsid w:val="007D1956"/>
    <w:rsid w:val="007E02D0"/>
    <w:rsid w:val="007E5E66"/>
    <w:rsid w:val="007F37AE"/>
    <w:rsid w:val="007F7031"/>
    <w:rsid w:val="00810AC6"/>
    <w:rsid w:val="008111F5"/>
    <w:rsid w:val="00867727"/>
    <w:rsid w:val="00873B88"/>
    <w:rsid w:val="00876528"/>
    <w:rsid w:val="00886BF4"/>
    <w:rsid w:val="008A6798"/>
    <w:rsid w:val="008B5686"/>
    <w:rsid w:val="008C1FFA"/>
    <w:rsid w:val="008E118B"/>
    <w:rsid w:val="00915982"/>
    <w:rsid w:val="00917E26"/>
    <w:rsid w:val="00927CD6"/>
    <w:rsid w:val="00936A58"/>
    <w:rsid w:val="00943CF6"/>
    <w:rsid w:val="00981D9F"/>
    <w:rsid w:val="009B0960"/>
    <w:rsid w:val="009F0F86"/>
    <w:rsid w:val="00A04B43"/>
    <w:rsid w:val="00A20623"/>
    <w:rsid w:val="00A227B4"/>
    <w:rsid w:val="00A30488"/>
    <w:rsid w:val="00A339B1"/>
    <w:rsid w:val="00A63E43"/>
    <w:rsid w:val="00A7248E"/>
    <w:rsid w:val="00A74A3D"/>
    <w:rsid w:val="00A778B0"/>
    <w:rsid w:val="00A80193"/>
    <w:rsid w:val="00A80336"/>
    <w:rsid w:val="00A842A2"/>
    <w:rsid w:val="00A849A7"/>
    <w:rsid w:val="00A90E85"/>
    <w:rsid w:val="00A95FDF"/>
    <w:rsid w:val="00AA74C7"/>
    <w:rsid w:val="00AB34B0"/>
    <w:rsid w:val="00AB4125"/>
    <w:rsid w:val="00AC0788"/>
    <w:rsid w:val="00AC1F6A"/>
    <w:rsid w:val="00B01E05"/>
    <w:rsid w:val="00B0203F"/>
    <w:rsid w:val="00B113AE"/>
    <w:rsid w:val="00B215FF"/>
    <w:rsid w:val="00B57B59"/>
    <w:rsid w:val="00B71A38"/>
    <w:rsid w:val="00B7488B"/>
    <w:rsid w:val="00B8289D"/>
    <w:rsid w:val="00BA7D1F"/>
    <w:rsid w:val="00BB0F7A"/>
    <w:rsid w:val="00BB2389"/>
    <w:rsid w:val="00BB3AD9"/>
    <w:rsid w:val="00BC11C1"/>
    <w:rsid w:val="00BC380E"/>
    <w:rsid w:val="00BC3AEC"/>
    <w:rsid w:val="00BD654E"/>
    <w:rsid w:val="00BF6510"/>
    <w:rsid w:val="00C0231B"/>
    <w:rsid w:val="00C03692"/>
    <w:rsid w:val="00C34AE2"/>
    <w:rsid w:val="00C55D00"/>
    <w:rsid w:val="00C55E6F"/>
    <w:rsid w:val="00C72AF7"/>
    <w:rsid w:val="00C73650"/>
    <w:rsid w:val="00C74CCC"/>
    <w:rsid w:val="00C9491B"/>
    <w:rsid w:val="00CA35D4"/>
    <w:rsid w:val="00CD58CF"/>
    <w:rsid w:val="00CD5BD9"/>
    <w:rsid w:val="00CE61AC"/>
    <w:rsid w:val="00CF0041"/>
    <w:rsid w:val="00D05537"/>
    <w:rsid w:val="00D057E1"/>
    <w:rsid w:val="00D22929"/>
    <w:rsid w:val="00D24FA8"/>
    <w:rsid w:val="00D573A4"/>
    <w:rsid w:val="00D8505B"/>
    <w:rsid w:val="00D8541E"/>
    <w:rsid w:val="00DA161A"/>
    <w:rsid w:val="00DB6FBB"/>
    <w:rsid w:val="00DB7F7D"/>
    <w:rsid w:val="00DD3676"/>
    <w:rsid w:val="00DE4536"/>
    <w:rsid w:val="00E06CDA"/>
    <w:rsid w:val="00E26091"/>
    <w:rsid w:val="00E30562"/>
    <w:rsid w:val="00E4143E"/>
    <w:rsid w:val="00E414EA"/>
    <w:rsid w:val="00E421B0"/>
    <w:rsid w:val="00E54E37"/>
    <w:rsid w:val="00E635F0"/>
    <w:rsid w:val="00E744AA"/>
    <w:rsid w:val="00E80E5A"/>
    <w:rsid w:val="00E86BEA"/>
    <w:rsid w:val="00EA3C8B"/>
    <w:rsid w:val="00EC4ECE"/>
    <w:rsid w:val="00ED34AF"/>
    <w:rsid w:val="00EE0995"/>
    <w:rsid w:val="00EF2E0B"/>
    <w:rsid w:val="00EF79B4"/>
    <w:rsid w:val="00F667FC"/>
    <w:rsid w:val="00F84EF1"/>
    <w:rsid w:val="00F92965"/>
    <w:rsid w:val="00F93777"/>
    <w:rsid w:val="00FA47CA"/>
    <w:rsid w:val="00FC0A59"/>
    <w:rsid w:val="00FC31A7"/>
    <w:rsid w:val="00FC6256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82B"/>
  <w15:chartTrackingRefBased/>
  <w15:docId w15:val="{618BE88A-B825-42CB-9A36-F66E2141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AF"/>
    <w:rPr>
      <w:kern w:val="0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3F6A76"/>
    <w:pPr>
      <w:widowControl w:val="0"/>
      <w:autoSpaceDE w:val="0"/>
      <w:autoSpaceDN w:val="0"/>
      <w:spacing w:after="0" w:line="240" w:lineRule="auto"/>
      <w:ind w:left="509" w:hanging="331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3F6A76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A7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F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A76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6A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6A7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F6A76"/>
    <w:rPr>
      <w:vertAlign w:val="superscript"/>
    </w:rPr>
  </w:style>
  <w:style w:type="paragraph" w:styleId="PargrafodaLista">
    <w:name w:val="List Paragraph"/>
    <w:basedOn w:val="Normal"/>
    <w:qFormat/>
    <w:rsid w:val="003F6A76"/>
    <w:pPr>
      <w:ind w:left="720"/>
      <w:contextualSpacing/>
    </w:pPr>
  </w:style>
  <w:style w:type="table" w:styleId="Tabelacomgrade">
    <w:name w:val="Table Grid"/>
    <w:basedOn w:val="Tabelanormal"/>
    <w:uiPriority w:val="39"/>
    <w:rsid w:val="003F6A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6A7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A76"/>
    <w:rPr>
      <w:color w:val="605E5C"/>
      <w:shd w:val="clear" w:color="auto" w:fill="E1DFDD"/>
    </w:rPr>
  </w:style>
  <w:style w:type="character" w:customStyle="1" w:styleId="celnlef">
    <w:name w:val="celnlef"/>
    <w:basedOn w:val="Fontepargpadro"/>
    <w:rsid w:val="003F6A76"/>
  </w:style>
  <w:style w:type="paragraph" w:styleId="SemEspaamento">
    <w:name w:val="No Spacing"/>
    <w:link w:val="SemEspaamentoChar"/>
    <w:uiPriority w:val="1"/>
    <w:qFormat/>
    <w:rsid w:val="003F6A76"/>
    <w:pPr>
      <w:spacing w:after="0" w:line="240" w:lineRule="auto"/>
    </w:pPr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F6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6A76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A330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5A3309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555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fontstyle01">
    <w:name w:val="fontstyle01"/>
    <w:basedOn w:val="Fontepargpadro"/>
    <w:rsid w:val="00E635F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SemEspaamentoChar">
    <w:name w:val="Sem Espaçamento Char"/>
    <w:link w:val="SemEspaamento"/>
    <w:uiPriority w:val="1"/>
    <w:locked/>
    <w:rsid w:val="00BD654E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ED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3388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102</cp:revision>
  <cp:lastPrinted>2024-12-02T17:04:00Z</cp:lastPrinted>
  <dcterms:created xsi:type="dcterms:W3CDTF">2024-09-25T17:36:00Z</dcterms:created>
  <dcterms:modified xsi:type="dcterms:W3CDTF">2024-12-02T17:04:00Z</dcterms:modified>
</cp:coreProperties>
</file>