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comgrade"/>
        <w:tblW w:w="9356" w:type="dxa"/>
        <w:tblInd w:w="-572" w:type="dxa"/>
        <w:tblLook w:val="04A0" w:firstRow="1" w:lastRow="0" w:firstColumn="1" w:lastColumn="0" w:noHBand="0" w:noVBand="1"/>
      </w:tblPr>
      <w:tblGrid>
        <w:gridCol w:w="9356"/>
      </w:tblGrid>
      <w:tr w:rsidR="002148F0" w:rsidRPr="00D91AB2" w14:paraId="36AD1A4B" w14:textId="77777777" w:rsidTr="00D4693B">
        <w:tc>
          <w:tcPr>
            <w:tcW w:w="9356" w:type="dxa"/>
            <w:shd w:val="clear" w:color="auto" w:fill="auto"/>
          </w:tcPr>
          <w:p w14:paraId="248548A2" w14:textId="73710F6A" w:rsidR="00AF2369" w:rsidRPr="00272463" w:rsidRDefault="00AF2369" w:rsidP="00AF2369">
            <w:pPr>
              <w:jc w:val="center"/>
              <w:rPr>
                <w:rFonts w:ascii="Times New Roman" w:hAnsi="Times New Roman" w:cs="Times New Roman"/>
                <w:b/>
              </w:rPr>
            </w:pPr>
            <w:r w:rsidRPr="00272463">
              <w:rPr>
                <w:rFonts w:ascii="Times New Roman" w:hAnsi="Times New Roman" w:cs="Times New Roman"/>
                <w:b/>
              </w:rPr>
              <w:t xml:space="preserve">SOLICITAÇÃO Nº </w:t>
            </w:r>
            <w:r w:rsidR="00272463" w:rsidRPr="00272463">
              <w:rPr>
                <w:rFonts w:ascii="Times New Roman" w:hAnsi="Times New Roman" w:cs="Times New Roman"/>
                <w:b/>
              </w:rPr>
              <w:t>4</w:t>
            </w:r>
            <w:r w:rsidRPr="00272463">
              <w:rPr>
                <w:rFonts w:ascii="Times New Roman" w:hAnsi="Times New Roman" w:cs="Times New Roman"/>
                <w:b/>
              </w:rPr>
              <w:t>/202</w:t>
            </w:r>
            <w:r w:rsidR="00F52F43" w:rsidRPr="00272463">
              <w:rPr>
                <w:rFonts w:ascii="Times New Roman" w:hAnsi="Times New Roman" w:cs="Times New Roman"/>
                <w:b/>
              </w:rPr>
              <w:t>5</w:t>
            </w:r>
          </w:p>
          <w:p w14:paraId="7D7CC561" w14:textId="4A972745" w:rsidR="00D206AB" w:rsidRPr="00D91AB2" w:rsidRDefault="00F654F6" w:rsidP="00AF2369">
            <w:pPr>
              <w:jc w:val="center"/>
              <w:rPr>
                <w:rFonts w:ascii="Times New Roman" w:hAnsi="Times New Roman" w:cs="Times New Roman"/>
                <w:b/>
              </w:rPr>
            </w:pPr>
            <w:r w:rsidRPr="00D91AB2">
              <w:rPr>
                <w:rFonts w:ascii="Times New Roman" w:hAnsi="Times New Roman" w:cs="Times New Roman"/>
                <w:b/>
              </w:rPr>
              <w:t xml:space="preserve">DOCUMENTO DE FORMALIZAÇÃO DE DEMANDA </w:t>
            </w:r>
          </w:p>
        </w:tc>
      </w:tr>
      <w:tr w:rsidR="002C2EE6" w:rsidRPr="00D91AB2" w14:paraId="2803FFA8" w14:textId="77777777" w:rsidTr="00D4693B">
        <w:tc>
          <w:tcPr>
            <w:tcW w:w="9356" w:type="dxa"/>
            <w:shd w:val="clear" w:color="auto" w:fill="auto"/>
          </w:tcPr>
          <w:p w14:paraId="5DC4C674" w14:textId="42631C96" w:rsidR="002C2EE6" w:rsidRPr="00D91AB2" w:rsidRDefault="002C2EE6" w:rsidP="00D206AB">
            <w:pPr>
              <w:jc w:val="both"/>
              <w:rPr>
                <w:rFonts w:ascii="Times New Roman" w:hAnsi="Times New Roman" w:cs="Times New Roman"/>
                <w:b/>
              </w:rPr>
            </w:pPr>
            <w:r w:rsidRPr="00D91AB2">
              <w:rPr>
                <w:rFonts w:ascii="Times New Roman" w:hAnsi="Times New Roman" w:cs="Times New Roman"/>
                <w:b/>
              </w:rPr>
              <w:t xml:space="preserve">1. </w:t>
            </w:r>
            <w:r w:rsidR="00CE4613" w:rsidRPr="00D91AB2">
              <w:rPr>
                <w:rFonts w:ascii="Times New Roman" w:hAnsi="Times New Roman" w:cs="Times New Roman"/>
                <w:b/>
              </w:rPr>
              <w:t>ÓRGÃO SOLICITANTE</w:t>
            </w:r>
          </w:p>
          <w:p w14:paraId="3FFB554B" w14:textId="5C2BDA7D" w:rsidR="00606987" w:rsidRPr="00D91AB2" w:rsidRDefault="00F36E2A" w:rsidP="00103033">
            <w:pPr>
              <w:jc w:val="both"/>
              <w:rPr>
                <w:rFonts w:ascii="Times New Roman" w:hAnsi="Times New Roman" w:cs="Times New Roman"/>
                <w:b/>
              </w:rPr>
            </w:pPr>
            <w:r w:rsidRPr="00D91AB2">
              <w:rPr>
                <w:rFonts w:ascii="Times New Roman" w:hAnsi="Times New Roman" w:cs="Times New Roman"/>
              </w:rPr>
              <w:t>Secretaria de Administração, Finanças e Planejamento</w:t>
            </w:r>
            <w:r w:rsidR="00125138" w:rsidRPr="00D91AB2">
              <w:rPr>
                <w:rFonts w:ascii="Times New Roman" w:hAnsi="Times New Roman" w:cs="Times New Roman"/>
              </w:rPr>
              <w:t xml:space="preserve"> </w:t>
            </w:r>
          </w:p>
        </w:tc>
      </w:tr>
      <w:tr w:rsidR="00FA46F2" w:rsidRPr="00D91AB2" w14:paraId="5FFB9C13" w14:textId="77777777" w:rsidTr="00D4693B">
        <w:tc>
          <w:tcPr>
            <w:tcW w:w="9356" w:type="dxa"/>
            <w:shd w:val="clear" w:color="auto" w:fill="auto"/>
          </w:tcPr>
          <w:p w14:paraId="62C05A41" w14:textId="5A518ADE" w:rsidR="00FA46F2" w:rsidRPr="00D91AB2" w:rsidRDefault="00CE4613" w:rsidP="00D206AB">
            <w:pPr>
              <w:jc w:val="both"/>
              <w:rPr>
                <w:rFonts w:ascii="Times New Roman" w:hAnsi="Times New Roman" w:cs="Times New Roman"/>
                <w:b/>
              </w:rPr>
            </w:pPr>
            <w:r w:rsidRPr="00D91AB2">
              <w:rPr>
                <w:rFonts w:ascii="Times New Roman" w:hAnsi="Times New Roman" w:cs="Times New Roman"/>
                <w:b/>
              </w:rPr>
              <w:t>2. DESCRIÇÃO DO OBJETO (NÃO DOS ITENS)</w:t>
            </w:r>
          </w:p>
          <w:p w14:paraId="28DDCC84" w14:textId="3297764F" w:rsidR="00751302" w:rsidRPr="00D91AB2" w:rsidRDefault="002821EF" w:rsidP="00103033">
            <w:pPr>
              <w:jc w:val="both"/>
              <w:rPr>
                <w:rFonts w:ascii="Times New Roman" w:hAnsi="Times New Roman" w:cs="Times New Roman"/>
                <w:b/>
              </w:rPr>
            </w:pPr>
            <w:r w:rsidRPr="00D91AB2">
              <w:rPr>
                <w:rFonts w:ascii="Times New Roman" w:eastAsia="Times New Roman" w:hAnsi="Times New Roman" w:cs="Times New Roman"/>
                <w:color w:val="000000"/>
              </w:rPr>
              <w:t>Serviços técnicos especializados aplicados ao setor público, abrangendo capacitação contínua através da transferência de conhecimentos, acompanhamento e orientação na área</w:t>
            </w:r>
            <w:r w:rsidRPr="00D91AB2">
              <w:rPr>
                <w:rFonts w:ascii="Times New Roman" w:eastAsia="Times New Roman" w:hAnsi="Times New Roman" w:cs="Times New Roman"/>
                <w:shd w:val="clear" w:color="auto" w:fill="FFFFFF"/>
              </w:rPr>
              <w:t xml:space="preserve"> </w:t>
            </w:r>
            <w:r w:rsidRPr="00D91AB2">
              <w:rPr>
                <w:rFonts w:ascii="Times New Roman" w:eastAsia="Times New Roman" w:hAnsi="Times New Roman" w:cs="Times New Roman"/>
                <w:b/>
                <w:bCs/>
                <w:shd w:val="clear" w:color="auto" w:fill="FFFFFF"/>
              </w:rPr>
              <w:t xml:space="preserve">Planejamento Financeiro e Operacional, </w:t>
            </w:r>
            <w:r w:rsidRPr="00D91AB2">
              <w:rPr>
                <w:rFonts w:ascii="Times New Roman" w:hAnsi="Times New Roman" w:cs="Times New Roman"/>
                <w:b/>
              </w:rPr>
              <w:t>Compras, Licitações e Contratos,</w:t>
            </w:r>
            <w:r w:rsidRPr="00D91AB2">
              <w:rPr>
                <w:rFonts w:ascii="Times New Roman" w:hAnsi="Times New Roman" w:cs="Times New Roman"/>
                <w:b/>
                <w:shd w:val="clear" w:color="auto" w:fill="FFFFFF"/>
              </w:rPr>
              <w:t xml:space="preserve"> Controle Interno e</w:t>
            </w:r>
            <w:r w:rsidRPr="00D91AB2">
              <w:rPr>
                <w:rFonts w:ascii="Times New Roman" w:eastAsia="Calibri" w:hAnsi="Times New Roman" w:cs="Times New Roman"/>
                <w:i/>
                <w:iCs/>
                <w:color w:val="000000"/>
              </w:rPr>
              <w:t xml:space="preserve"> </w:t>
            </w:r>
            <w:r w:rsidRPr="00D91AB2">
              <w:rPr>
                <w:rFonts w:ascii="Times New Roman" w:eastAsia="Calibri" w:hAnsi="Times New Roman" w:cs="Times New Roman"/>
                <w:b/>
                <w:bCs/>
                <w:color w:val="000000"/>
              </w:rPr>
              <w:t>Contraditórios ao Tribunal de Contas e</w:t>
            </w:r>
            <w:r w:rsidRPr="00D91AB2">
              <w:rPr>
                <w:rFonts w:ascii="Times New Roman" w:eastAsia="Times New Roman" w:hAnsi="Times New Roman" w:cs="Times New Roman"/>
                <w:shd w:val="clear" w:color="auto" w:fill="FFFFFF"/>
              </w:rPr>
              <w:t xml:space="preserve"> </w:t>
            </w:r>
            <w:r w:rsidRPr="00D91AB2">
              <w:rPr>
                <w:rFonts w:ascii="Times New Roman" w:hAnsi="Times New Roman" w:cs="Times New Roman"/>
                <w:b/>
              </w:rPr>
              <w:t>Econômico/Fiscal</w:t>
            </w:r>
            <w:r w:rsidRPr="00D91AB2">
              <w:rPr>
                <w:rFonts w:ascii="Times New Roman" w:eastAsia="Times New Roman" w:hAnsi="Times New Roman" w:cs="Times New Roman"/>
                <w:color w:val="000000"/>
              </w:rPr>
              <w:t>, com continua capacitação dos servidores, e de forma remota, mediante orientações a distância via telefone, correio eletrônico outras facilidades tecnológicas.</w:t>
            </w:r>
          </w:p>
        </w:tc>
      </w:tr>
      <w:tr w:rsidR="00DF3F81" w:rsidRPr="00D91AB2" w14:paraId="42C2DEB7" w14:textId="77777777" w:rsidTr="00D4693B">
        <w:tc>
          <w:tcPr>
            <w:tcW w:w="9356" w:type="dxa"/>
            <w:shd w:val="clear" w:color="auto" w:fill="auto"/>
          </w:tcPr>
          <w:p w14:paraId="6ABD9D03" w14:textId="52EBE901" w:rsidR="00DF3F81" w:rsidRPr="00D91AB2" w:rsidRDefault="00CE4613" w:rsidP="00D206AB">
            <w:pPr>
              <w:jc w:val="both"/>
              <w:rPr>
                <w:rFonts w:ascii="Times New Roman" w:hAnsi="Times New Roman" w:cs="Times New Roman"/>
                <w:b/>
                <w:bCs/>
              </w:rPr>
            </w:pPr>
            <w:r w:rsidRPr="00D91AB2">
              <w:rPr>
                <w:rFonts w:ascii="Times New Roman" w:hAnsi="Times New Roman" w:cs="Times New Roman"/>
                <w:b/>
                <w:bCs/>
              </w:rPr>
              <w:t>3. JUSTIFICATIVA DA NECESSIDADE DE CONTRATAÇÃO</w:t>
            </w:r>
          </w:p>
          <w:p w14:paraId="344C4671" w14:textId="0C42B237" w:rsidR="0091425E" w:rsidRPr="00D91AB2" w:rsidRDefault="0091425E" w:rsidP="0091425E">
            <w:pPr>
              <w:jc w:val="both"/>
              <w:rPr>
                <w:rFonts w:ascii="Times New Roman" w:hAnsi="Times New Roman" w:cs="Times New Roman"/>
              </w:rPr>
            </w:pPr>
            <w:r w:rsidRPr="00D91AB2">
              <w:rPr>
                <w:rFonts w:ascii="Times New Roman" w:hAnsi="Times New Roman" w:cs="Times New Roman"/>
              </w:rPr>
              <w:t xml:space="preserve">A contratação de serviços técnicos especializados no setor público, fundamentada no </w:t>
            </w:r>
            <w:r w:rsidRPr="00D91AB2">
              <w:rPr>
                <w:rFonts w:ascii="Times New Roman" w:hAnsi="Times New Roman" w:cs="Times New Roman"/>
                <w:b/>
                <w:bCs/>
              </w:rPr>
              <w:t>art. 74, inciso III, alíneas "c" e "f", da Lei nº 14.133/2021</w:t>
            </w:r>
            <w:r w:rsidRPr="00D91AB2">
              <w:rPr>
                <w:rFonts w:ascii="Times New Roman" w:hAnsi="Times New Roman" w:cs="Times New Roman"/>
              </w:rPr>
              <w:t xml:space="preserve">, é essencial para garantir a eficiência administrativa, o cumprimento das normas legais e a otimização dos processos no início do exercício fiscal de 2025, especialmente em um contexto de troca de gestão. Esses serviços abrangem áreas estratégicas como Planejamento Financeiro e Operacional, Controle Interno, </w:t>
            </w:r>
            <w:r w:rsidR="002821EF" w:rsidRPr="00D91AB2">
              <w:rPr>
                <w:rFonts w:ascii="Times New Roman" w:hAnsi="Times New Roman" w:cs="Times New Roman"/>
              </w:rPr>
              <w:t>contraditórios</w:t>
            </w:r>
            <w:r w:rsidRPr="00D91AB2">
              <w:rPr>
                <w:rFonts w:ascii="Times New Roman" w:hAnsi="Times New Roman" w:cs="Times New Roman"/>
              </w:rPr>
              <w:t xml:space="preserve"> ao Tribunal de Contas, Compras, Licitações, Contratos e Matérias Econômico-Fiscais, sendo caracterizados pela singularidade e pela inviabilidade de competição, o que justifica a contratação direta.</w:t>
            </w:r>
          </w:p>
          <w:p w14:paraId="6D371F0F" w14:textId="77777777" w:rsidR="0091425E" w:rsidRPr="00D91AB2" w:rsidRDefault="0091425E" w:rsidP="0091425E">
            <w:pPr>
              <w:jc w:val="both"/>
              <w:rPr>
                <w:rFonts w:ascii="Times New Roman" w:hAnsi="Times New Roman" w:cs="Times New Roman"/>
              </w:rPr>
            </w:pPr>
            <w:r w:rsidRPr="00D91AB2">
              <w:rPr>
                <w:rFonts w:ascii="Times New Roman" w:hAnsi="Times New Roman" w:cs="Times New Roman"/>
              </w:rPr>
              <w:t xml:space="preserve">No âmbito do </w:t>
            </w:r>
            <w:r w:rsidRPr="00D91AB2">
              <w:rPr>
                <w:rFonts w:ascii="Times New Roman" w:hAnsi="Times New Roman" w:cs="Times New Roman"/>
                <w:b/>
                <w:bCs/>
              </w:rPr>
              <w:t>Planejamento Financeiro e Operacional</w:t>
            </w:r>
            <w:r w:rsidRPr="00D91AB2">
              <w:rPr>
                <w:rFonts w:ascii="Times New Roman" w:hAnsi="Times New Roman" w:cs="Times New Roman"/>
              </w:rPr>
              <w:t>, os serviços incluem o acompanhamento e auxílio às secretarias na execução orçamentária, financeira e patrimonial, capacitação de gestores nas unidades orçamentárias, automação de processos administrativos com uso de tecnologias avançadas, e suporte técnico para a implementação de ferramentas de inteligência artificial. Essas atividades visam otimizar os recursos humanos e reduzir custos operacionais, promovendo eficiência e inovação no setor público.</w:t>
            </w:r>
          </w:p>
          <w:p w14:paraId="76AF839F" w14:textId="77777777" w:rsidR="0091425E" w:rsidRPr="00D91AB2" w:rsidRDefault="0091425E" w:rsidP="0091425E">
            <w:pPr>
              <w:jc w:val="both"/>
              <w:rPr>
                <w:rFonts w:ascii="Times New Roman" w:hAnsi="Times New Roman" w:cs="Times New Roman"/>
              </w:rPr>
            </w:pPr>
            <w:r w:rsidRPr="00D91AB2">
              <w:rPr>
                <w:rFonts w:ascii="Times New Roman" w:hAnsi="Times New Roman" w:cs="Times New Roman"/>
              </w:rPr>
              <w:t xml:space="preserve">Na área de </w:t>
            </w:r>
            <w:r w:rsidRPr="00D91AB2">
              <w:rPr>
                <w:rFonts w:ascii="Times New Roman" w:hAnsi="Times New Roman" w:cs="Times New Roman"/>
                <w:b/>
                <w:bCs/>
              </w:rPr>
              <w:t>Controle Interno e Contraditórios ao Tribunal de Contas</w:t>
            </w:r>
            <w:r w:rsidRPr="00D91AB2">
              <w:rPr>
                <w:rFonts w:ascii="Times New Roman" w:hAnsi="Times New Roman" w:cs="Times New Roman"/>
              </w:rPr>
              <w:t>, os serviços oferecerão suporte à elaboração de relatórios de gestão, balanço consolidado e notas explicativas, além de orientação na resposta a diligências, ofícios e relatórios dos Tribunais de Contas. A assessoria também incluirá programas de auditorias, normas operacionais internas e acompanhamento durante inspeções de órgãos de controle, garantindo conformidade legal e transparência na gestão pública.</w:t>
            </w:r>
          </w:p>
          <w:p w14:paraId="465970A9" w14:textId="77777777" w:rsidR="0091425E" w:rsidRPr="00D91AB2" w:rsidRDefault="0091425E" w:rsidP="0091425E">
            <w:pPr>
              <w:jc w:val="both"/>
              <w:rPr>
                <w:rFonts w:ascii="Times New Roman" w:hAnsi="Times New Roman" w:cs="Times New Roman"/>
              </w:rPr>
            </w:pPr>
            <w:r w:rsidRPr="00D91AB2">
              <w:rPr>
                <w:rFonts w:ascii="Times New Roman" w:hAnsi="Times New Roman" w:cs="Times New Roman"/>
              </w:rPr>
              <w:t xml:space="preserve">Quanto às </w:t>
            </w:r>
            <w:r w:rsidRPr="00D91AB2">
              <w:rPr>
                <w:rFonts w:ascii="Times New Roman" w:hAnsi="Times New Roman" w:cs="Times New Roman"/>
                <w:b/>
                <w:bCs/>
              </w:rPr>
              <w:t>Compras, Licitações e Contratos</w:t>
            </w:r>
            <w:r w:rsidRPr="00D91AB2">
              <w:rPr>
                <w:rFonts w:ascii="Times New Roman" w:hAnsi="Times New Roman" w:cs="Times New Roman"/>
              </w:rPr>
              <w:t>, o apoio técnico especializado abrangerá o planejamento, execução e fiscalização das contratações, capacitação de servidores sobre a aplicação da Lei nº 14.133/2021, elaboração de editais e documentos técnicos, e acompanhamento de todas as etapas dos processos licitatórios. Adicionalmente, será prestado suporte presencial e remoto, com respostas rápidas a consultas e emissão de pareceres técnicos.</w:t>
            </w:r>
          </w:p>
          <w:p w14:paraId="7043CDA5" w14:textId="77777777" w:rsidR="0091425E" w:rsidRPr="00D91AB2" w:rsidRDefault="0091425E" w:rsidP="0091425E">
            <w:pPr>
              <w:jc w:val="both"/>
              <w:rPr>
                <w:rFonts w:ascii="Times New Roman" w:hAnsi="Times New Roman" w:cs="Times New Roman"/>
              </w:rPr>
            </w:pPr>
            <w:r w:rsidRPr="00D91AB2">
              <w:rPr>
                <w:rFonts w:ascii="Times New Roman" w:hAnsi="Times New Roman" w:cs="Times New Roman"/>
              </w:rPr>
              <w:t xml:space="preserve">Na área </w:t>
            </w:r>
            <w:r w:rsidRPr="00D91AB2">
              <w:rPr>
                <w:rFonts w:ascii="Times New Roman" w:hAnsi="Times New Roman" w:cs="Times New Roman"/>
                <w:b/>
                <w:bCs/>
              </w:rPr>
              <w:t>Econômico-Fiscal</w:t>
            </w:r>
            <w:r w:rsidRPr="00D91AB2">
              <w:rPr>
                <w:rFonts w:ascii="Times New Roman" w:hAnsi="Times New Roman" w:cs="Times New Roman"/>
              </w:rPr>
              <w:t xml:space="preserve">, a contratação incluirá a revisão de dados das </w:t>
            </w:r>
            <w:proofErr w:type="spellStart"/>
            <w:r w:rsidRPr="00D91AB2">
              <w:rPr>
                <w:rFonts w:ascii="Times New Roman" w:hAnsi="Times New Roman" w:cs="Times New Roman"/>
              </w:rPr>
              <w:t>DIMEs</w:t>
            </w:r>
            <w:proofErr w:type="spellEnd"/>
            <w:r w:rsidRPr="00D91AB2">
              <w:rPr>
                <w:rFonts w:ascii="Times New Roman" w:hAnsi="Times New Roman" w:cs="Times New Roman"/>
              </w:rPr>
              <w:t>, orientação aos contribuintes e contadores para a regularização de declarações omissas ou com erros, e acompanhamento dos índices de participação municipal no ICMS. Essas atividades são cruciais para evitar prejuízos financeiros ao município e garantir o cumprimento das obrigações tributárias.</w:t>
            </w:r>
          </w:p>
          <w:p w14:paraId="03C8A086" w14:textId="47B156EF" w:rsidR="00606987" w:rsidRPr="00D91AB2" w:rsidRDefault="0091425E" w:rsidP="007F36A6">
            <w:pPr>
              <w:jc w:val="both"/>
              <w:rPr>
                <w:rFonts w:ascii="Times New Roman" w:eastAsia="Times New Roman" w:hAnsi="Times New Roman" w:cs="Times New Roman"/>
                <w:i/>
                <w:iCs/>
                <w:color w:val="000000"/>
                <w:lang w:eastAsia="pt-BR"/>
              </w:rPr>
            </w:pPr>
            <w:r w:rsidRPr="00D91AB2">
              <w:rPr>
                <w:rFonts w:ascii="Times New Roman" w:hAnsi="Times New Roman" w:cs="Times New Roman"/>
              </w:rPr>
              <w:t>A fundamentação legal para essa contratação baseia-se na natureza singular dos serviços, que demandam conhecimento técnico especializado e notório saber. A inviabilidade de competição decorre da necessidade de soluções personalizadas e adaptadas às especificidades do município. Assim, a medida promove o interesse público, assegurando continuidade administrativa, eficiência operacional e conformidade legal desde o início do exercício fiscal de 2025.</w:t>
            </w:r>
          </w:p>
        </w:tc>
      </w:tr>
      <w:tr w:rsidR="00751302" w:rsidRPr="00D91AB2" w14:paraId="70C1DAFB" w14:textId="77777777" w:rsidTr="00D4693B">
        <w:tc>
          <w:tcPr>
            <w:tcW w:w="9356" w:type="dxa"/>
            <w:shd w:val="clear" w:color="auto" w:fill="auto"/>
          </w:tcPr>
          <w:p w14:paraId="7F7BEA36" w14:textId="37DEAC72" w:rsidR="00751302" w:rsidRPr="00D91AB2" w:rsidRDefault="004C0874" w:rsidP="00D206AB">
            <w:pPr>
              <w:jc w:val="both"/>
              <w:rPr>
                <w:rFonts w:ascii="Times New Roman" w:hAnsi="Times New Roman" w:cs="Times New Roman"/>
                <w:b/>
                <w:bCs/>
              </w:rPr>
            </w:pPr>
            <w:r w:rsidRPr="00D91AB2">
              <w:rPr>
                <w:rFonts w:ascii="Times New Roman" w:hAnsi="Times New Roman" w:cs="Times New Roman"/>
                <w:b/>
                <w:bCs/>
              </w:rPr>
              <w:t xml:space="preserve">4. </w:t>
            </w:r>
            <w:r w:rsidR="00751302" w:rsidRPr="00D91AB2">
              <w:rPr>
                <w:rFonts w:ascii="Times New Roman" w:hAnsi="Times New Roman" w:cs="Times New Roman"/>
                <w:b/>
                <w:bCs/>
              </w:rPr>
              <w:t>DESCRIÇÃO DA SOLUÇÃO COMO UM TODO</w:t>
            </w:r>
          </w:p>
          <w:p w14:paraId="75B55FC0" w14:textId="77777777" w:rsidR="0091425E" w:rsidRPr="00D91AB2" w:rsidRDefault="0091425E" w:rsidP="0091425E">
            <w:pPr>
              <w:jc w:val="both"/>
              <w:rPr>
                <w:rFonts w:ascii="Times New Roman" w:hAnsi="Times New Roman" w:cs="Times New Roman"/>
              </w:rPr>
            </w:pPr>
            <w:r w:rsidRPr="00D91AB2">
              <w:rPr>
                <w:rFonts w:ascii="Times New Roman" w:hAnsi="Times New Roman" w:cs="Times New Roman"/>
              </w:rPr>
              <w:t xml:space="preserve">A solução apresentada é a mais adequada para atender às demandas do município de </w:t>
            </w:r>
            <w:r w:rsidRPr="00D91AB2">
              <w:rPr>
                <w:rFonts w:ascii="Times New Roman" w:hAnsi="Times New Roman" w:cs="Times New Roman"/>
                <w:b/>
                <w:bCs/>
              </w:rPr>
              <w:t>Palmitos/SC</w:t>
            </w:r>
            <w:r w:rsidRPr="00D91AB2">
              <w:rPr>
                <w:rFonts w:ascii="Times New Roman" w:hAnsi="Times New Roman" w:cs="Times New Roman"/>
              </w:rPr>
              <w:t>, pois combina expertise técnica com ações direcionadas às áreas estratégicas da administração pública, promovendo eficiência, modernização e conformidade legal. Essa abordagem é essencial para garantir uma gestão responsável, alinhada às melhores práticas e ao cumprimento das normas aplicáveis.</w:t>
            </w:r>
          </w:p>
          <w:p w14:paraId="4A272C7B" w14:textId="77777777" w:rsidR="0091425E" w:rsidRPr="00D91AB2" w:rsidRDefault="0091425E" w:rsidP="0091425E">
            <w:pPr>
              <w:jc w:val="both"/>
              <w:rPr>
                <w:rFonts w:ascii="Times New Roman" w:hAnsi="Times New Roman" w:cs="Times New Roman"/>
              </w:rPr>
            </w:pPr>
            <w:r w:rsidRPr="00D91AB2">
              <w:rPr>
                <w:rFonts w:ascii="Times New Roman" w:hAnsi="Times New Roman" w:cs="Times New Roman"/>
              </w:rPr>
              <w:t>Em primeiro lugar, o planejamento e a execução de ações específicas voltadas para as áreas contábil, financeira, de planejamento e tributação asseguram que o município opere em conformidade com as Leis nº 4.320/64 e nº 101/2000, além das Normas Brasileiras de Contabilidade Aplicadas ao Setor Público (NBCASP). Essas medidas promovem a transparência na execução orçamentária e a correta prestação de contas, evitando sanções e fortalecendo a credibilidade da administração municipal.</w:t>
            </w:r>
          </w:p>
          <w:p w14:paraId="5BE23B88" w14:textId="77777777" w:rsidR="0091425E" w:rsidRPr="00D91AB2" w:rsidRDefault="0091425E" w:rsidP="0091425E">
            <w:pPr>
              <w:jc w:val="both"/>
              <w:rPr>
                <w:rFonts w:ascii="Times New Roman" w:hAnsi="Times New Roman" w:cs="Times New Roman"/>
              </w:rPr>
            </w:pPr>
            <w:r w:rsidRPr="00D91AB2">
              <w:rPr>
                <w:rFonts w:ascii="Times New Roman" w:hAnsi="Times New Roman" w:cs="Times New Roman"/>
              </w:rPr>
              <w:lastRenderedPageBreak/>
              <w:t>Além disso, a capacitação contínua dos servidores é um diferencial que potencializa a eficiência da gestão pública. Por meio de treinamentos, oficinas e consultorias personalizadas, os colaboradores do município são preparados para lidar com situações complexas, aprimorar o uso de recursos e adotar práticas modernas na execução de suas funções. Isso inclui áreas como elaboração de editais, planejamento orçamentário e acompanhamento de indicadores fiscais.</w:t>
            </w:r>
          </w:p>
          <w:p w14:paraId="140BA535" w14:textId="77777777" w:rsidR="0091425E" w:rsidRPr="00D91AB2" w:rsidRDefault="0091425E" w:rsidP="0091425E">
            <w:pPr>
              <w:jc w:val="both"/>
              <w:rPr>
                <w:rFonts w:ascii="Times New Roman" w:hAnsi="Times New Roman" w:cs="Times New Roman"/>
              </w:rPr>
            </w:pPr>
            <w:r w:rsidRPr="00D91AB2">
              <w:rPr>
                <w:rFonts w:ascii="Times New Roman" w:hAnsi="Times New Roman" w:cs="Times New Roman"/>
              </w:rPr>
              <w:t>Na área de compras, licitações e contratos, a consultoria oferece suporte completo, desde a elaboração de editais até o acompanhamento das fases do processo licitatório. Isso garante que os procedimentos sejam realizados em conformidade com a Lei nº 14.133/2021, reduzindo riscos de nulidades e promovendo maior eficiência e economicidade nas contratações públicas.</w:t>
            </w:r>
          </w:p>
          <w:p w14:paraId="1DCDA9E3" w14:textId="77777777" w:rsidR="0091425E" w:rsidRPr="00D91AB2" w:rsidRDefault="0091425E" w:rsidP="0091425E">
            <w:pPr>
              <w:jc w:val="both"/>
              <w:rPr>
                <w:rFonts w:ascii="Times New Roman" w:hAnsi="Times New Roman" w:cs="Times New Roman"/>
              </w:rPr>
            </w:pPr>
            <w:r w:rsidRPr="00D91AB2">
              <w:rPr>
                <w:rFonts w:ascii="Times New Roman" w:hAnsi="Times New Roman" w:cs="Times New Roman"/>
              </w:rPr>
              <w:t>A consultoria também se destaca pelo acompanhamento dos processos de julgamento das contas municipais junto ao Tribunal de Contas do Estado de Santa Catarina, assegurando que eventuais inconsistências sejam corrigidas e que as prestações de contas sejam realizadas com excelência. Além disso, a participação em audiências públicas e o suporte na elaboração de relatórios e notas explicativas reforçam a transparência e o controle social.</w:t>
            </w:r>
          </w:p>
          <w:p w14:paraId="00DE71D6" w14:textId="7960E2D1" w:rsidR="00751302" w:rsidRPr="00D91AB2" w:rsidRDefault="0091425E" w:rsidP="007F36A6">
            <w:pPr>
              <w:jc w:val="both"/>
              <w:rPr>
                <w:rFonts w:ascii="Times New Roman" w:hAnsi="Times New Roman" w:cs="Times New Roman"/>
                <w:b/>
                <w:bCs/>
              </w:rPr>
            </w:pPr>
            <w:r w:rsidRPr="00D91AB2">
              <w:rPr>
                <w:rFonts w:ascii="Times New Roman" w:hAnsi="Times New Roman" w:cs="Times New Roman"/>
              </w:rPr>
              <w:t>Em resumo, a solução proposta é abrangente e integrada, oferecendo ao município de Palmitos/SC os recursos necessários para superar desafios administrativos e alcançar uma gestão pública eficiente, responsável e transparente.</w:t>
            </w:r>
          </w:p>
        </w:tc>
      </w:tr>
      <w:tr w:rsidR="00751302" w:rsidRPr="00D91AB2" w14:paraId="496819B2" w14:textId="77777777" w:rsidTr="00D4693B">
        <w:tc>
          <w:tcPr>
            <w:tcW w:w="9356" w:type="dxa"/>
            <w:shd w:val="clear" w:color="auto" w:fill="auto"/>
          </w:tcPr>
          <w:p w14:paraId="0A651004" w14:textId="748A5E70" w:rsidR="00751302" w:rsidRPr="00D91AB2" w:rsidRDefault="004C0874" w:rsidP="00D206AB">
            <w:pPr>
              <w:jc w:val="both"/>
              <w:rPr>
                <w:rFonts w:ascii="Times New Roman" w:hAnsi="Times New Roman" w:cs="Times New Roman"/>
                <w:b/>
                <w:bCs/>
              </w:rPr>
            </w:pPr>
            <w:r w:rsidRPr="00D91AB2">
              <w:rPr>
                <w:rFonts w:ascii="Times New Roman" w:hAnsi="Times New Roman" w:cs="Times New Roman"/>
                <w:b/>
                <w:bCs/>
              </w:rPr>
              <w:lastRenderedPageBreak/>
              <w:t xml:space="preserve">5. </w:t>
            </w:r>
            <w:r w:rsidR="00751302" w:rsidRPr="00D91AB2">
              <w:rPr>
                <w:rFonts w:ascii="Times New Roman" w:hAnsi="Times New Roman" w:cs="Times New Roman"/>
                <w:b/>
                <w:bCs/>
              </w:rPr>
              <w:t xml:space="preserve">REQUISITOS DA CONTRATAÇÃO </w:t>
            </w:r>
          </w:p>
          <w:p w14:paraId="39D27E9C" w14:textId="77777777" w:rsidR="0091425E" w:rsidRPr="00D91AB2" w:rsidRDefault="0091425E" w:rsidP="0091425E">
            <w:pPr>
              <w:jc w:val="both"/>
              <w:rPr>
                <w:rFonts w:ascii="Times New Roman" w:hAnsi="Times New Roman" w:cs="Times New Roman"/>
              </w:rPr>
            </w:pPr>
            <w:r w:rsidRPr="00D91AB2">
              <w:rPr>
                <w:rFonts w:ascii="Times New Roman" w:hAnsi="Times New Roman" w:cs="Times New Roman"/>
              </w:rPr>
              <w:t>a)</w:t>
            </w:r>
            <w:r w:rsidRPr="00D91AB2">
              <w:rPr>
                <w:rFonts w:ascii="Times New Roman" w:hAnsi="Times New Roman" w:cs="Times New Roman"/>
              </w:rPr>
              <w:tab/>
              <w:t>Orçamento;</w:t>
            </w:r>
          </w:p>
          <w:p w14:paraId="5B4FF3D9" w14:textId="77777777" w:rsidR="0091425E" w:rsidRPr="00D91AB2" w:rsidRDefault="0091425E" w:rsidP="0091425E">
            <w:pPr>
              <w:jc w:val="both"/>
              <w:rPr>
                <w:rFonts w:ascii="Times New Roman" w:hAnsi="Times New Roman" w:cs="Times New Roman"/>
              </w:rPr>
            </w:pPr>
            <w:r w:rsidRPr="00D91AB2">
              <w:rPr>
                <w:rFonts w:ascii="Times New Roman" w:hAnsi="Times New Roman" w:cs="Times New Roman"/>
              </w:rPr>
              <w:t>b)</w:t>
            </w:r>
            <w:r w:rsidRPr="00D91AB2">
              <w:rPr>
                <w:rFonts w:ascii="Times New Roman" w:hAnsi="Times New Roman" w:cs="Times New Roman"/>
              </w:rPr>
              <w:tab/>
              <w:t>Comprovante de Inscrição no CNPJ;</w:t>
            </w:r>
          </w:p>
          <w:p w14:paraId="254AA91F" w14:textId="77777777" w:rsidR="0091425E" w:rsidRPr="00D91AB2" w:rsidRDefault="0091425E" w:rsidP="0091425E">
            <w:pPr>
              <w:jc w:val="both"/>
              <w:rPr>
                <w:rFonts w:ascii="Times New Roman" w:hAnsi="Times New Roman" w:cs="Times New Roman"/>
              </w:rPr>
            </w:pPr>
            <w:r w:rsidRPr="00D91AB2">
              <w:rPr>
                <w:rFonts w:ascii="Times New Roman" w:hAnsi="Times New Roman" w:cs="Times New Roman"/>
              </w:rPr>
              <w:t>c)</w:t>
            </w:r>
            <w:r w:rsidRPr="00D91AB2">
              <w:rPr>
                <w:rFonts w:ascii="Times New Roman" w:hAnsi="Times New Roman" w:cs="Times New Roman"/>
              </w:rPr>
              <w:tab/>
              <w:t>Certidão Negativa de Débitos Relativos aos Tributos Federais e à Dívida Ativa da União;</w:t>
            </w:r>
          </w:p>
          <w:p w14:paraId="3C46C335" w14:textId="77777777" w:rsidR="0091425E" w:rsidRPr="00D91AB2" w:rsidRDefault="0091425E" w:rsidP="0091425E">
            <w:pPr>
              <w:jc w:val="both"/>
              <w:rPr>
                <w:rFonts w:ascii="Times New Roman" w:hAnsi="Times New Roman" w:cs="Times New Roman"/>
              </w:rPr>
            </w:pPr>
            <w:r w:rsidRPr="00D91AB2">
              <w:rPr>
                <w:rFonts w:ascii="Times New Roman" w:hAnsi="Times New Roman" w:cs="Times New Roman"/>
              </w:rPr>
              <w:t>d)</w:t>
            </w:r>
            <w:r w:rsidRPr="00D91AB2">
              <w:rPr>
                <w:rFonts w:ascii="Times New Roman" w:hAnsi="Times New Roman" w:cs="Times New Roman"/>
              </w:rPr>
              <w:tab/>
              <w:t>Certidão Negativa de Débitos Estaduais;</w:t>
            </w:r>
          </w:p>
          <w:p w14:paraId="01BBA3E5" w14:textId="77777777" w:rsidR="0091425E" w:rsidRPr="00D91AB2" w:rsidRDefault="0091425E" w:rsidP="0091425E">
            <w:pPr>
              <w:jc w:val="both"/>
              <w:rPr>
                <w:rFonts w:ascii="Times New Roman" w:hAnsi="Times New Roman" w:cs="Times New Roman"/>
              </w:rPr>
            </w:pPr>
            <w:r w:rsidRPr="00D91AB2">
              <w:rPr>
                <w:rFonts w:ascii="Times New Roman" w:hAnsi="Times New Roman" w:cs="Times New Roman"/>
              </w:rPr>
              <w:t>e)</w:t>
            </w:r>
            <w:r w:rsidRPr="00D91AB2">
              <w:rPr>
                <w:rFonts w:ascii="Times New Roman" w:hAnsi="Times New Roman" w:cs="Times New Roman"/>
              </w:rPr>
              <w:tab/>
              <w:t>Certidão Negativa de Débitos Municipais;</w:t>
            </w:r>
          </w:p>
          <w:p w14:paraId="168B414A" w14:textId="77777777" w:rsidR="0091425E" w:rsidRPr="00D91AB2" w:rsidRDefault="0091425E" w:rsidP="0091425E">
            <w:pPr>
              <w:jc w:val="both"/>
              <w:rPr>
                <w:rFonts w:ascii="Times New Roman" w:hAnsi="Times New Roman" w:cs="Times New Roman"/>
              </w:rPr>
            </w:pPr>
            <w:r w:rsidRPr="00D91AB2">
              <w:rPr>
                <w:rFonts w:ascii="Times New Roman" w:hAnsi="Times New Roman" w:cs="Times New Roman"/>
              </w:rPr>
              <w:t>f)</w:t>
            </w:r>
            <w:r w:rsidRPr="00D91AB2">
              <w:rPr>
                <w:rFonts w:ascii="Times New Roman" w:hAnsi="Times New Roman" w:cs="Times New Roman"/>
              </w:rPr>
              <w:tab/>
              <w:t>Certificado de Regularidade do FGTS;</w:t>
            </w:r>
          </w:p>
          <w:p w14:paraId="77547718" w14:textId="77777777" w:rsidR="0091425E" w:rsidRPr="00D91AB2" w:rsidRDefault="0091425E" w:rsidP="0091425E">
            <w:pPr>
              <w:jc w:val="both"/>
              <w:rPr>
                <w:rFonts w:ascii="Times New Roman" w:hAnsi="Times New Roman" w:cs="Times New Roman"/>
              </w:rPr>
            </w:pPr>
            <w:r w:rsidRPr="00D91AB2">
              <w:rPr>
                <w:rFonts w:ascii="Times New Roman" w:hAnsi="Times New Roman" w:cs="Times New Roman"/>
              </w:rPr>
              <w:t>g)</w:t>
            </w:r>
            <w:r w:rsidRPr="00D91AB2">
              <w:rPr>
                <w:rFonts w:ascii="Times New Roman" w:hAnsi="Times New Roman" w:cs="Times New Roman"/>
              </w:rPr>
              <w:tab/>
              <w:t>Certidão Negativa de Débitos Trabalhistas (Lei 12.440/2011);</w:t>
            </w:r>
          </w:p>
          <w:p w14:paraId="7E69C1EF" w14:textId="77777777" w:rsidR="0091425E" w:rsidRPr="00D91AB2" w:rsidRDefault="0091425E" w:rsidP="0091425E">
            <w:pPr>
              <w:jc w:val="both"/>
              <w:rPr>
                <w:rFonts w:ascii="Times New Roman" w:hAnsi="Times New Roman" w:cs="Times New Roman"/>
              </w:rPr>
            </w:pPr>
            <w:r w:rsidRPr="00D91AB2">
              <w:rPr>
                <w:rFonts w:ascii="Times New Roman" w:hAnsi="Times New Roman" w:cs="Times New Roman"/>
              </w:rPr>
              <w:t>h)</w:t>
            </w:r>
            <w:r w:rsidRPr="00D91AB2">
              <w:rPr>
                <w:rFonts w:ascii="Times New Roman" w:hAnsi="Times New Roman" w:cs="Times New Roman"/>
              </w:rPr>
              <w:tab/>
              <w:t>Contrato Social;</w:t>
            </w:r>
          </w:p>
          <w:p w14:paraId="3A41F585" w14:textId="77777777" w:rsidR="0091425E" w:rsidRPr="00D91AB2" w:rsidRDefault="0091425E" w:rsidP="0091425E">
            <w:pPr>
              <w:jc w:val="both"/>
              <w:rPr>
                <w:rFonts w:ascii="Times New Roman" w:hAnsi="Times New Roman" w:cs="Times New Roman"/>
              </w:rPr>
            </w:pPr>
            <w:r w:rsidRPr="00D91AB2">
              <w:rPr>
                <w:rFonts w:ascii="Times New Roman" w:hAnsi="Times New Roman" w:cs="Times New Roman"/>
              </w:rPr>
              <w:t>i)</w:t>
            </w:r>
            <w:r w:rsidRPr="00D91AB2">
              <w:rPr>
                <w:rFonts w:ascii="Times New Roman" w:hAnsi="Times New Roman" w:cs="Times New Roman"/>
              </w:rPr>
              <w:tab/>
              <w:t>Certidão de Falência ou concordata;</w:t>
            </w:r>
          </w:p>
          <w:p w14:paraId="0F74C75C" w14:textId="77777777" w:rsidR="0091425E" w:rsidRPr="00D91AB2" w:rsidRDefault="0091425E" w:rsidP="0091425E">
            <w:pPr>
              <w:jc w:val="both"/>
              <w:rPr>
                <w:rFonts w:ascii="Times New Roman" w:hAnsi="Times New Roman" w:cs="Times New Roman"/>
              </w:rPr>
            </w:pPr>
            <w:r w:rsidRPr="00D91AB2">
              <w:rPr>
                <w:rFonts w:ascii="Times New Roman" w:hAnsi="Times New Roman" w:cs="Times New Roman"/>
              </w:rPr>
              <w:t>j)</w:t>
            </w:r>
            <w:r w:rsidRPr="00D91AB2">
              <w:rPr>
                <w:rFonts w:ascii="Times New Roman" w:hAnsi="Times New Roman" w:cs="Times New Roman"/>
              </w:rPr>
              <w:tab/>
              <w:t>Consulta Consolidada de Pessoa Jurídica expedida pelo Tribunal de Contas da União, obtida no site https://certidoes-apf.apps.tcu.gov.br, comprovando a regularidade em relação as certidões integrantes;</w:t>
            </w:r>
          </w:p>
          <w:p w14:paraId="3E6BD21B" w14:textId="20E121F3" w:rsidR="0091425E" w:rsidRPr="00D91AB2" w:rsidRDefault="0091425E" w:rsidP="00FB6F6C">
            <w:pPr>
              <w:jc w:val="both"/>
              <w:rPr>
                <w:rFonts w:ascii="Times New Roman" w:hAnsi="Times New Roman" w:cs="Times New Roman"/>
              </w:rPr>
            </w:pPr>
            <w:r w:rsidRPr="00D91AB2">
              <w:rPr>
                <w:rFonts w:ascii="Times New Roman" w:hAnsi="Times New Roman" w:cs="Times New Roman"/>
              </w:rPr>
              <w:t>k)</w:t>
            </w:r>
            <w:r w:rsidRPr="00D91AB2">
              <w:rPr>
                <w:rFonts w:ascii="Times New Roman" w:hAnsi="Times New Roman" w:cs="Times New Roman"/>
              </w:rPr>
              <w:tab/>
              <w:t>Qualificação técnica – Atestados de Capacidade Técnica, Qualificação do responsável, experiências.</w:t>
            </w:r>
          </w:p>
        </w:tc>
      </w:tr>
      <w:tr w:rsidR="00FA46F2" w:rsidRPr="00D91AB2" w14:paraId="63A7EF2E" w14:textId="77777777" w:rsidTr="00D4693B">
        <w:tc>
          <w:tcPr>
            <w:tcW w:w="9356" w:type="dxa"/>
            <w:shd w:val="clear" w:color="auto" w:fill="auto"/>
          </w:tcPr>
          <w:p w14:paraId="1D36F78B" w14:textId="292804AF" w:rsidR="00FA46F2" w:rsidRPr="00D91AB2" w:rsidRDefault="004C0874" w:rsidP="00D206AB">
            <w:pPr>
              <w:jc w:val="both"/>
              <w:rPr>
                <w:rFonts w:ascii="Times New Roman" w:hAnsi="Times New Roman" w:cs="Times New Roman"/>
                <w:b/>
              </w:rPr>
            </w:pPr>
            <w:r w:rsidRPr="00D91AB2">
              <w:rPr>
                <w:rFonts w:ascii="Times New Roman" w:hAnsi="Times New Roman" w:cs="Times New Roman"/>
                <w:b/>
              </w:rPr>
              <w:t>6</w:t>
            </w:r>
            <w:r w:rsidR="00FA46F2" w:rsidRPr="00D91AB2">
              <w:rPr>
                <w:rFonts w:ascii="Times New Roman" w:hAnsi="Times New Roman" w:cs="Times New Roman"/>
                <w:bCs/>
              </w:rPr>
              <w:t xml:space="preserve">. </w:t>
            </w:r>
            <w:r w:rsidR="009F10F0" w:rsidRPr="00D91AB2">
              <w:rPr>
                <w:rFonts w:ascii="Times New Roman" w:hAnsi="Times New Roman" w:cs="Times New Roman"/>
                <w:b/>
              </w:rPr>
              <w:t>JUSTIFICATIVA DO PREÇO</w:t>
            </w:r>
          </w:p>
          <w:tbl>
            <w:tblPr>
              <w:tblStyle w:val="Tabelacomgrade"/>
              <w:tblW w:w="9123" w:type="dxa"/>
              <w:tblLook w:val="04A0" w:firstRow="1" w:lastRow="0" w:firstColumn="1" w:lastColumn="0" w:noHBand="0" w:noVBand="1"/>
            </w:tblPr>
            <w:tblGrid>
              <w:gridCol w:w="741"/>
              <w:gridCol w:w="3827"/>
              <w:gridCol w:w="833"/>
              <w:gridCol w:w="709"/>
              <w:gridCol w:w="1505"/>
              <w:gridCol w:w="1508"/>
            </w:tblGrid>
            <w:tr w:rsidR="00AC7F65" w:rsidRPr="00D91AB2" w14:paraId="1D565D7C" w14:textId="77777777" w:rsidTr="00A20153">
              <w:tc>
                <w:tcPr>
                  <w:tcW w:w="741" w:type="dxa"/>
                </w:tcPr>
                <w:p w14:paraId="4A97B9F6" w14:textId="2DD581B1" w:rsidR="00AC7F65" w:rsidRPr="00D91AB2" w:rsidRDefault="00AC7F65" w:rsidP="00AC7F65">
                  <w:pPr>
                    <w:jc w:val="both"/>
                    <w:rPr>
                      <w:rFonts w:ascii="Times New Roman" w:hAnsi="Times New Roman" w:cs="Times New Roman"/>
                    </w:rPr>
                  </w:pPr>
                  <w:r w:rsidRPr="00D91AB2">
                    <w:rPr>
                      <w:rFonts w:ascii="Times New Roman" w:eastAsia="Times New Roman" w:hAnsi="Times New Roman" w:cs="Times New Roman"/>
                      <w:b/>
                    </w:rPr>
                    <w:t>Item</w:t>
                  </w:r>
                </w:p>
              </w:tc>
              <w:tc>
                <w:tcPr>
                  <w:tcW w:w="3827" w:type="dxa"/>
                </w:tcPr>
                <w:p w14:paraId="39C601A3" w14:textId="72DD41DC" w:rsidR="00AC7F65" w:rsidRPr="00D91AB2" w:rsidRDefault="00AC7F65" w:rsidP="00AC7F65">
                  <w:pPr>
                    <w:jc w:val="both"/>
                    <w:rPr>
                      <w:rFonts w:ascii="Times New Roman" w:hAnsi="Times New Roman" w:cs="Times New Roman"/>
                    </w:rPr>
                  </w:pPr>
                  <w:r w:rsidRPr="00D91AB2">
                    <w:rPr>
                      <w:rFonts w:ascii="Times New Roman" w:hAnsi="Times New Roman" w:cs="Times New Roman"/>
                    </w:rPr>
                    <w:t>Objeto</w:t>
                  </w:r>
                </w:p>
              </w:tc>
              <w:tc>
                <w:tcPr>
                  <w:tcW w:w="833" w:type="dxa"/>
                </w:tcPr>
                <w:p w14:paraId="7C3999EF" w14:textId="2D34779B" w:rsidR="00AC7F65" w:rsidRPr="00D91AB2" w:rsidRDefault="00AC7F65" w:rsidP="00AC7F65">
                  <w:pPr>
                    <w:jc w:val="both"/>
                    <w:rPr>
                      <w:rFonts w:ascii="Times New Roman" w:hAnsi="Times New Roman" w:cs="Times New Roman"/>
                    </w:rPr>
                  </w:pPr>
                  <w:r w:rsidRPr="00D91AB2">
                    <w:rPr>
                      <w:rFonts w:ascii="Times New Roman" w:hAnsi="Times New Roman" w:cs="Times New Roman"/>
                    </w:rPr>
                    <w:t>Un</w:t>
                  </w:r>
                </w:p>
              </w:tc>
              <w:tc>
                <w:tcPr>
                  <w:tcW w:w="709" w:type="dxa"/>
                </w:tcPr>
                <w:p w14:paraId="48D37037" w14:textId="50DD3153" w:rsidR="00AC7F65" w:rsidRPr="00D91AB2" w:rsidRDefault="00AC7F65" w:rsidP="00AC7F65">
                  <w:pPr>
                    <w:jc w:val="both"/>
                    <w:rPr>
                      <w:rFonts w:ascii="Times New Roman" w:hAnsi="Times New Roman" w:cs="Times New Roman"/>
                    </w:rPr>
                  </w:pPr>
                  <w:proofErr w:type="spellStart"/>
                  <w:r w:rsidRPr="00D91AB2">
                    <w:rPr>
                      <w:rFonts w:ascii="Times New Roman" w:hAnsi="Times New Roman" w:cs="Times New Roman"/>
                    </w:rPr>
                    <w:t>Qtd</w:t>
                  </w:r>
                  <w:proofErr w:type="spellEnd"/>
                </w:p>
              </w:tc>
              <w:tc>
                <w:tcPr>
                  <w:tcW w:w="1505" w:type="dxa"/>
                </w:tcPr>
                <w:p w14:paraId="7284DAB3" w14:textId="50BA29F3" w:rsidR="00AC7F65" w:rsidRPr="00D91AB2" w:rsidRDefault="00AC7F65" w:rsidP="00AC7F65">
                  <w:pPr>
                    <w:jc w:val="both"/>
                    <w:rPr>
                      <w:rFonts w:ascii="Times New Roman" w:hAnsi="Times New Roman" w:cs="Times New Roman"/>
                    </w:rPr>
                  </w:pPr>
                  <w:r w:rsidRPr="00D91AB2">
                    <w:rPr>
                      <w:rFonts w:ascii="Times New Roman" w:hAnsi="Times New Roman" w:cs="Times New Roman"/>
                    </w:rPr>
                    <w:t>Valor Unitário</w:t>
                  </w:r>
                </w:p>
              </w:tc>
              <w:tc>
                <w:tcPr>
                  <w:tcW w:w="1508" w:type="dxa"/>
                </w:tcPr>
                <w:p w14:paraId="6DC6F45E" w14:textId="10E81F3B" w:rsidR="00AC7F65" w:rsidRPr="00D91AB2" w:rsidRDefault="00AC7F65" w:rsidP="00AC7F65">
                  <w:pPr>
                    <w:jc w:val="both"/>
                    <w:rPr>
                      <w:rFonts w:ascii="Times New Roman" w:hAnsi="Times New Roman" w:cs="Times New Roman"/>
                    </w:rPr>
                  </w:pPr>
                  <w:r w:rsidRPr="00D91AB2">
                    <w:rPr>
                      <w:rFonts w:ascii="Times New Roman" w:hAnsi="Times New Roman" w:cs="Times New Roman"/>
                    </w:rPr>
                    <w:t>Valor Total</w:t>
                  </w:r>
                </w:p>
              </w:tc>
            </w:tr>
            <w:tr w:rsidR="00AC7F65" w:rsidRPr="00D91AB2" w14:paraId="4FF65DF1" w14:textId="77777777" w:rsidTr="00A20153">
              <w:tc>
                <w:tcPr>
                  <w:tcW w:w="741" w:type="dxa"/>
                  <w:vAlign w:val="center"/>
                </w:tcPr>
                <w:p w14:paraId="181BE59E" w14:textId="3402C6A4" w:rsidR="00AC7F65" w:rsidRPr="00D91AB2" w:rsidRDefault="00AC7F65" w:rsidP="00AC7F65">
                  <w:pPr>
                    <w:jc w:val="both"/>
                    <w:rPr>
                      <w:rFonts w:ascii="Times New Roman" w:hAnsi="Times New Roman" w:cs="Times New Roman"/>
                    </w:rPr>
                  </w:pPr>
                  <w:r w:rsidRPr="00D91AB2">
                    <w:rPr>
                      <w:rFonts w:ascii="Times New Roman" w:eastAsia="Times New Roman" w:hAnsi="Times New Roman" w:cs="Times New Roman"/>
                    </w:rPr>
                    <w:t>01</w:t>
                  </w:r>
                </w:p>
              </w:tc>
              <w:tc>
                <w:tcPr>
                  <w:tcW w:w="3827" w:type="dxa"/>
                  <w:vAlign w:val="center"/>
                </w:tcPr>
                <w:p w14:paraId="0144A3C9" w14:textId="698B61DC" w:rsidR="00AC7F65" w:rsidRPr="00D91AB2" w:rsidRDefault="00AC7F65" w:rsidP="00AC7F65">
                  <w:pPr>
                    <w:jc w:val="both"/>
                    <w:rPr>
                      <w:rFonts w:ascii="Times New Roman" w:hAnsi="Times New Roman" w:cs="Times New Roman"/>
                    </w:rPr>
                  </w:pPr>
                  <w:r w:rsidRPr="00D91AB2">
                    <w:rPr>
                      <w:rFonts w:ascii="Times New Roman" w:hAnsi="Times New Roman" w:cs="Times New Roman"/>
                    </w:rPr>
                    <w:t xml:space="preserve"> Serviços técnicos especializados aplicados ao setor público, abrangendo capacitação contínua através da transferência de conhecimentos, acompanhamento e orientação na área Planejamento Financeiro e Operacional, Compras, Licitações e Contratos, Controle Interno e Contraditórios ao Tribunal de Contas e Econômico/Fiscal, com continua capacitação dos servidores, e de forma remota, mediante orientações a distância via telefone, correio eletrônico outras facilidades tecnológicas.</w:t>
                  </w:r>
                </w:p>
              </w:tc>
              <w:tc>
                <w:tcPr>
                  <w:tcW w:w="833" w:type="dxa"/>
                  <w:vAlign w:val="center"/>
                </w:tcPr>
                <w:p w14:paraId="414C1123" w14:textId="23361E6C" w:rsidR="00AC7F65" w:rsidRPr="00D91AB2" w:rsidRDefault="00AC7F65" w:rsidP="00AC7F65">
                  <w:pPr>
                    <w:jc w:val="both"/>
                    <w:rPr>
                      <w:rFonts w:ascii="Times New Roman" w:hAnsi="Times New Roman" w:cs="Times New Roman"/>
                    </w:rPr>
                  </w:pPr>
                  <w:r w:rsidRPr="00D91AB2">
                    <w:rPr>
                      <w:rFonts w:ascii="Times New Roman" w:hAnsi="Times New Roman" w:cs="Times New Roman"/>
                    </w:rPr>
                    <w:t>Mês</w:t>
                  </w:r>
                </w:p>
              </w:tc>
              <w:tc>
                <w:tcPr>
                  <w:tcW w:w="709" w:type="dxa"/>
                  <w:vAlign w:val="center"/>
                </w:tcPr>
                <w:p w14:paraId="1E3A519F" w14:textId="2C19D85B" w:rsidR="00AC7F65" w:rsidRPr="00D91AB2" w:rsidRDefault="00AC7F65" w:rsidP="00AC7F65">
                  <w:pPr>
                    <w:jc w:val="both"/>
                    <w:rPr>
                      <w:rFonts w:ascii="Times New Roman" w:hAnsi="Times New Roman" w:cs="Times New Roman"/>
                    </w:rPr>
                  </w:pPr>
                  <w:r w:rsidRPr="00D91AB2">
                    <w:rPr>
                      <w:rFonts w:ascii="Times New Roman" w:hAnsi="Times New Roman" w:cs="Times New Roman"/>
                    </w:rPr>
                    <w:t>1</w:t>
                  </w:r>
                  <w:r w:rsidR="003D6554" w:rsidRPr="00D91AB2">
                    <w:rPr>
                      <w:rFonts w:ascii="Times New Roman" w:hAnsi="Times New Roman" w:cs="Times New Roman"/>
                    </w:rPr>
                    <w:t>2</w:t>
                  </w:r>
                </w:p>
              </w:tc>
              <w:tc>
                <w:tcPr>
                  <w:tcW w:w="1505" w:type="dxa"/>
                  <w:vAlign w:val="center"/>
                </w:tcPr>
                <w:p w14:paraId="3E5A00E7" w14:textId="3E258E21" w:rsidR="00AC7F65" w:rsidRPr="00D91AB2" w:rsidRDefault="00AC7F65" w:rsidP="00AC7F65">
                  <w:pPr>
                    <w:jc w:val="both"/>
                    <w:rPr>
                      <w:rFonts w:ascii="Times New Roman" w:hAnsi="Times New Roman" w:cs="Times New Roman"/>
                    </w:rPr>
                  </w:pPr>
                  <w:r w:rsidRPr="00D91AB2">
                    <w:rPr>
                      <w:rFonts w:ascii="Times New Roman" w:hAnsi="Times New Roman" w:cs="Times New Roman"/>
                    </w:rPr>
                    <w:t>R$ 7.500,00</w:t>
                  </w:r>
                </w:p>
              </w:tc>
              <w:tc>
                <w:tcPr>
                  <w:tcW w:w="1508" w:type="dxa"/>
                  <w:vAlign w:val="center"/>
                </w:tcPr>
                <w:p w14:paraId="1DE163FA" w14:textId="46FBBBB8" w:rsidR="00AC7F65" w:rsidRPr="00D91AB2" w:rsidRDefault="00AC7F65" w:rsidP="00AC7F65">
                  <w:pPr>
                    <w:jc w:val="both"/>
                    <w:rPr>
                      <w:rFonts w:ascii="Times New Roman" w:hAnsi="Times New Roman" w:cs="Times New Roman"/>
                    </w:rPr>
                  </w:pPr>
                  <w:r w:rsidRPr="00D91AB2">
                    <w:rPr>
                      <w:rFonts w:ascii="Times New Roman" w:hAnsi="Times New Roman" w:cs="Times New Roman"/>
                    </w:rPr>
                    <w:t xml:space="preserve">R$ </w:t>
                  </w:r>
                  <w:r w:rsidR="003D6554" w:rsidRPr="00D91AB2">
                    <w:rPr>
                      <w:rFonts w:ascii="Times New Roman" w:hAnsi="Times New Roman" w:cs="Times New Roman"/>
                    </w:rPr>
                    <w:t>90</w:t>
                  </w:r>
                  <w:r w:rsidRPr="00D91AB2">
                    <w:rPr>
                      <w:rFonts w:ascii="Times New Roman" w:hAnsi="Times New Roman" w:cs="Times New Roman"/>
                    </w:rPr>
                    <w:t>.</w:t>
                  </w:r>
                  <w:r w:rsidR="003D6554" w:rsidRPr="00D91AB2">
                    <w:rPr>
                      <w:rFonts w:ascii="Times New Roman" w:hAnsi="Times New Roman" w:cs="Times New Roman"/>
                    </w:rPr>
                    <w:t>0</w:t>
                  </w:r>
                  <w:r w:rsidRPr="00D91AB2">
                    <w:rPr>
                      <w:rFonts w:ascii="Times New Roman" w:hAnsi="Times New Roman" w:cs="Times New Roman"/>
                    </w:rPr>
                    <w:t>00,00</w:t>
                  </w:r>
                </w:p>
              </w:tc>
            </w:tr>
          </w:tbl>
          <w:p w14:paraId="22DBC1D6" w14:textId="26021A2B" w:rsidR="00B426A3" w:rsidRPr="00D91AB2" w:rsidRDefault="0091425E" w:rsidP="00F84D70">
            <w:pPr>
              <w:jc w:val="both"/>
              <w:rPr>
                <w:rFonts w:ascii="Times New Roman" w:hAnsi="Times New Roman" w:cs="Times New Roman"/>
              </w:rPr>
            </w:pPr>
            <w:r w:rsidRPr="00D91AB2">
              <w:rPr>
                <w:rFonts w:ascii="Times New Roman" w:hAnsi="Times New Roman" w:cs="Times New Roman"/>
              </w:rPr>
              <w:t xml:space="preserve">Foi realizado consulta em </w:t>
            </w:r>
            <w:r w:rsidR="00824A8C" w:rsidRPr="00D91AB2">
              <w:rPr>
                <w:rFonts w:ascii="Times New Roman" w:hAnsi="Times New Roman" w:cs="Times New Roman"/>
              </w:rPr>
              <w:t xml:space="preserve">licitações de </w:t>
            </w:r>
            <w:r w:rsidRPr="00D91AB2">
              <w:rPr>
                <w:rFonts w:ascii="Times New Roman" w:hAnsi="Times New Roman" w:cs="Times New Roman"/>
              </w:rPr>
              <w:t>cidades que também contrataram serviços análogos ao presente, com fulcro no art. art. 23, inc. II da lei 14.133/2021, estando o valor de acordo com o praticado no mercado.</w:t>
            </w:r>
          </w:p>
        </w:tc>
      </w:tr>
      <w:tr w:rsidR="00C97838" w:rsidRPr="00D91AB2" w14:paraId="5ACE41B6" w14:textId="77777777" w:rsidTr="00D4693B">
        <w:tc>
          <w:tcPr>
            <w:tcW w:w="9356" w:type="dxa"/>
            <w:shd w:val="clear" w:color="auto" w:fill="auto"/>
          </w:tcPr>
          <w:p w14:paraId="2F726CE9" w14:textId="17F6736E" w:rsidR="00C97838" w:rsidRPr="00D91AB2" w:rsidRDefault="004C0874" w:rsidP="00D206AB">
            <w:pPr>
              <w:jc w:val="both"/>
              <w:rPr>
                <w:rFonts w:ascii="Times New Roman" w:hAnsi="Times New Roman" w:cs="Times New Roman"/>
                <w:b/>
              </w:rPr>
            </w:pPr>
            <w:r w:rsidRPr="00D91AB2">
              <w:rPr>
                <w:rFonts w:ascii="Times New Roman" w:hAnsi="Times New Roman" w:cs="Times New Roman"/>
                <w:b/>
              </w:rPr>
              <w:t>7</w:t>
            </w:r>
            <w:r w:rsidR="00CE4613" w:rsidRPr="00D91AB2">
              <w:rPr>
                <w:rFonts w:ascii="Times New Roman" w:hAnsi="Times New Roman" w:cs="Times New Roman"/>
                <w:b/>
              </w:rPr>
              <w:t>. INDICAÇÃO DO FISCAL E DO GESTOR</w:t>
            </w:r>
          </w:p>
          <w:p w14:paraId="65C89378" w14:textId="795ED9C3" w:rsidR="00FB6F6C" w:rsidRPr="00D91AB2" w:rsidRDefault="00FB6F6C" w:rsidP="00FB6F6C">
            <w:pPr>
              <w:jc w:val="both"/>
              <w:rPr>
                <w:rFonts w:ascii="Times New Roman" w:hAnsi="Times New Roman" w:cs="Times New Roman"/>
              </w:rPr>
            </w:pPr>
            <w:r w:rsidRPr="00D91AB2">
              <w:rPr>
                <w:rFonts w:ascii="Times New Roman" w:hAnsi="Times New Roman" w:cs="Times New Roman"/>
              </w:rPr>
              <w:lastRenderedPageBreak/>
              <w:t xml:space="preserve">O MUNICÍPIO DE PALMITOS designa como </w:t>
            </w:r>
            <w:r w:rsidRPr="00D91AB2">
              <w:rPr>
                <w:rFonts w:ascii="Times New Roman" w:hAnsi="Times New Roman" w:cs="Times New Roman"/>
                <w:bCs/>
              </w:rPr>
              <w:t xml:space="preserve">Gestor a </w:t>
            </w:r>
            <w:r w:rsidRPr="00D91AB2">
              <w:rPr>
                <w:rFonts w:ascii="Times New Roman" w:hAnsi="Times New Roman" w:cs="Times New Roman"/>
              </w:rPr>
              <w:t xml:space="preserve">Sra. Andreia </w:t>
            </w:r>
            <w:proofErr w:type="spellStart"/>
            <w:r w:rsidRPr="00D91AB2">
              <w:rPr>
                <w:rFonts w:ascii="Times New Roman" w:hAnsi="Times New Roman" w:cs="Times New Roman"/>
              </w:rPr>
              <w:t>Fadani</w:t>
            </w:r>
            <w:proofErr w:type="spellEnd"/>
            <w:r w:rsidRPr="00D91AB2">
              <w:rPr>
                <w:rFonts w:ascii="Times New Roman" w:hAnsi="Times New Roman" w:cs="Times New Roman"/>
              </w:rPr>
              <w:t xml:space="preserve"> </w:t>
            </w:r>
            <w:proofErr w:type="spellStart"/>
            <w:r w:rsidRPr="00D91AB2">
              <w:rPr>
                <w:rFonts w:ascii="Times New Roman" w:hAnsi="Times New Roman" w:cs="Times New Roman"/>
              </w:rPr>
              <w:t>Schenatto</w:t>
            </w:r>
            <w:proofErr w:type="spellEnd"/>
            <w:r w:rsidRPr="00D91AB2">
              <w:rPr>
                <w:rFonts w:ascii="Times New Roman" w:hAnsi="Times New Roman" w:cs="Times New Roman"/>
              </w:rPr>
              <w:t xml:space="preserve">, </w:t>
            </w:r>
            <w:r w:rsidRPr="00D91AB2">
              <w:rPr>
                <w:rFonts w:ascii="Times New Roman" w:hAnsi="Times New Roman" w:cs="Times New Roman"/>
                <w:bCs/>
              </w:rPr>
              <w:t xml:space="preserve">e como fiscal, A Sra. </w:t>
            </w:r>
            <w:proofErr w:type="spellStart"/>
            <w:r w:rsidRPr="00D91AB2">
              <w:rPr>
                <w:rFonts w:ascii="Times New Roman" w:hAnsi="Times New Roman" w:cs="Times New Roman"/>
                <w:bCs/>
              </w:rPr>
              <w:t>Lisandre</w:t>
            </w:r>
            <w:proofErr w:type="spellEnd"/>
            <w:r w:rsidRPr="00D91AB2">
              <w:rPr>
                <w:rFonts w:ascii="Times New Roman" w:hAnsi="Times New Roman" w:cs="Times New Roman"/>
                <w:bCs/>
              </w:rPr>
              <w:t xml:space="preserve"> </w:t>
            </w:r>
            <w:proofErr w:type="spellStart"/>
            <w:r w:rsidRPr="00D91AB2">
              <w:rPr>
                <w:rFonts w:ascii="Times New Roman" w:hAnsi="Times New Roman" w:cs="Times New Roman"/>
                <w:bCs/>
              </w:rPr>
              <w:t>Drebel</w:t>
            </w:r>
            <w:proofErr w:type="spellEnd"/>
            <w:r w:rsidRPr="00D91AB2">
              <w:rPr>
                <w:rFonts w:ascii="Times New Roman" w:hAnsi="Times New Roman" w:cs="Times New Roman"/>
                <w:bCs/>
              </w:rPr>
              <w:t xml:space="preserve">, </w:t>
            </w:r>
            <w:r w:rsidRPr="00D91AB2">
              <w:rPr>
                <w:rFonts w:ascii="Times New Roman" w:hAnsi="Times New Roman" w:cs="Times New Roman"/>
              </w:rPr>
              <w:t>para o acompanhamento formal nos aspectos administrativos, procedimentais contábeis, além do acompanhamento e fiscalização dos serviços, devendo registrar em relatório todas as ocorrências e as deficiências, nos termos da Lei, consolidada, cuja cópia será encaminhada à CONTRATADA, objetivando a correção das irregularidades apontadas no prazo que for estabelecido.</w:t>
            </w:r>
          </w:p>
          <w:p w14:paraId="5ACE55FB" w14:textId="77777777" w:rsidR="00FB6F6C" w:rsidRPr="00D91AB2" w:rsidRDefault="00FB6F6C" w:rsidP="00FB6F6C">
            <w:pPr>
              <w:pStyle w:val="Padro"/>
              <w:jc w:val="both"/>
              <w:rPr>
                <w:sz w:val="22"/>
                <w:szCs w:val="22"/>
              </w:rPr>
            </w:pPr>
            <w:r w:rsidRPr="00D91AB2">
              <w:rPr>
                <w:sz w:val="22"/>
                <w:szCs w:val="22"/>
              </w:rPr>
              <w:t>O fiscal do contrato será responsável pelo fiel cumprimento das cláusulas contratuais, inclusive as pertinentes aos encargos complementares.</w:t>
            </w:r>
          </w:p>
          <w:p w14:paraId="031F1751" w14:textId="61302B8D" w:rsidR="00FB6F6C" w:rsidRPr="00D91AB2" w:rsidRDefault="00FB6F6C" w:rsidP="00375A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jc w:val="both"/>
              <w:rPr>
                <w:rFonts w:ascii="Times New Roman" w:hAnsi="Times New Roman" w:cs="Times New Roman"/>
              </w:rPr>
            </w:pPr>
            <w:r w:rsidRPr="00D91AB2">
              <w:rPr>
                <w:rFonts w:ascii="Times New Roman" w:eastAsia="Times New Roman" w:hAnsi="Times New Roman" w:cs="Times New Roman"/>
              </w:rPr>
              <w:t>As exigências e a atuação da fiscalização pelo MUNICÍPIO em nada restringem a responsabilidade única, integral e exclusiva da CONTRATADA no que concerne à execução do objeto contratado.</w:t>
            </w:r>
          </w:p>
        </w:tc>
      </w:tr>
      <w:tr w:rsidR="002C2EE6" w:rsidRPr="00D91AB2" w14:paraId="1032F33E" w14:textId="77777777" w:rsidTr="00D4693B">
        <w:tc>
          <w:tcPr>
            <w:tcW w:w="9356" w:type="dxa"/>
            <w:shd w:val="clear" w:color="auto" w:fill="auto"/>
          </w:tcPr>
          <w:p w14:paraId="2A0CC131" w14:textId="5C57DE7E" w:rsidR="002C2EE6" w:rsidRPr="00D91AB2" w:rsidRDefault="004C0874" w:rsidP="00D206AB">
            <w:pPr>
              <w:jc w:val="both"/>
              <w:rPr>
                <w:rFonts w:ascii="Times New Roman" w:hAnsi="Times New Roman" w:cs="Times New Roman"/>
                <w:b/>
              </w:rPr>
            </w:pPr>
            <w:r w:rsidRPr="00D91AB2">
              <w:rPr>
                <w:rFonts w:ascii="Times New Roman" w:hAnsi="Times New Roman" w:cs="Times New Roman"/>
                <w:b/>
              </w:rPr>
              <w:lastRenderedPageBreak/>
              <w:t>8</w:t>
            </w:r>
            <w:r w:rsidR="00CE4613" w:rsidRPr="00D91AB2">
              <w:rPr>
                <w:rFonts w:ascii="Times New Roman" w:hAnsi="Times New Roman" w:cs="Times New Roman"/>
                <w:b/>
              </w:rPr>
              <w:t xml:space="preserve">. GRAU DE PRIORIDADE DA CONTRATAÇÃO EM BAIXO, MÉDIO OU ALTO </w:t>
            </w:r>
          </w:p>
          <w:p w14:paraId="5A5F2C4A" w14:textId="132DEC4D" w:rsidR="00606987" w:rsidRPr="00D91AB2" w:rsidRDefault="002D3211" w:rsidP="00375A75">
            <w:pPr>
              <w:jc w:val="both"/>
              <w:rPr>
                <w:rFonts w:ascii="Times New Roman" w:hAnsi="Times New Roman" w:cs="Times New Roman"/>
                <w:bCs/>
              </w:rPr>
            </w:pPr>
            <w:r w:rsidRPr="00D91AB2">
              <w:rPr>
                <w:rFonts w:ascii="Times New Roman" w:hAnsi="Times New Roman" w:cs="Times New Roman"/>
                <w:bCs/>
              </w:rPr>
              <w:t>Alto</w:t>
            </w:r>
          </w:p>
        </w:tc>
      </w:tr>
      <w:tr w:rsidR="00FA46F2" w:rsidRPr="00D91AB2" w14:paraId="33EEC29A" w14:textId="77777777" w:rsidTr="00D4693B">
        <w:tc>
          <w:tcPr>
            <w:tcW w:w="9356" w:type="dxa"/>
            <w:shd w:val="clear" w:color="auto" w:fill="auto"/>
          </w:tcPr>
          <w:p w14:paraId="43B223DF" w14:textId="30363458" w:rsidR="00FA46F2" w:rsidRPr="00D91AB2" w:rsidRDefault="004C0874" w:rsidP="00D206AB">
            <w:pPr>
              <w:jc w:val="both"/>
              <w:rPr>
                <w:rFonts w:ascii="Times New Roman" w:hAnsi="Times New Roman" w:cs="Times New Roman"/>
                <w:b/>
              </w:rPr>
            </w:pPr>
            <w:bookmarkStart w:id="0" w:name="_Hlk155793667"/>
            <w:r w:rsidRPr="00D91AB2">
              <w:rPr>
                <w:rFonts w:ascii="Times New Roman" w:hAnsi="Times New Roman" w:cs="Times New Roman"/>
                <w:b/>
              </w:rPr>
              <w:t>9</w:t>
            </w:r>
            <w:r w:rsidR="00CE4613" w:rsidRPr="00D91AB2">
              <w:rPr>
                <w:rFonts w:ascii="Times New Roman" w:hAnsi="Times New Roman" w:cs="Times New Roman"/>
                <w:b/>
              </w:rPr>
              <w:t>. RAZÃO DA ESCOLHA DO CONTRATADO (APENAS NOS CASOS DE INEXIGIBILIDADE)</w:t>
            </w:r>
          </w:p>
          <w:p w14:paraId="5A182353" w14:textId="38686471" w:rsidR="0091425E" w:rsidRPr="00D91AB2" w:rsidRDefault="0091425E" w:rsidP="0091425E">
            <w:pPr>
              <w:jc w:val="both"/>
              <w:rPr>
                <w:rFonts w:ascii="Times New Roman" w:hAnsi="Times New Roman" w:cs="Times New Roman"/>
              </w:rPr>
            </w:pPr>
            <w:r w:rsidRPr="00D91AB2">
              <w:rPr>
                <w:rFonts w:ascii="Times New Roman" w:hAnsi="Times New Roman" w:cs="Times New Roman"/>
              </w:rPr>
              <w:t xml:space="preserve">A Empresa contratada foi escolhida por ser empresa idônea, não possuindo qualquer restrição, por questões objetivas, foi escolhida por ser do ramo, ter diversos contratos com Municípios da região para execução de objetos análogos, possuindo diversos Atestados de Capacidade Técnica de serviços análogos realizados por seu responsável técnico, que comprovam a sua expertise, com mais de 10 anos de experiência no setor público, </w:t>
            </w:r>
            <w:r w:rsidRPr="00D91AB2">
              <w:rPr>
                <w:rFonts w:ascii="Times New Roman" w:eastAsia="Times New Roman" w:hAnsi="Times New Roman" w:cs="Times New Roman"/>
              </w:rPr>
              <w:t>sendo uma empresa de notória especialização para atendimento a órgãos públicos em todas matérias objeto dessa inexigibilidade.</w:t>
            </w:r>
          </w:p>
          <w:p w14:paraId="7AEEBDA8" w14:textId="14EA5D85" w:rsidR="00BF3919" w:rsidRPr="00D91AB2" w:rsidRDefault="0091425E" w:rsidP="007F36A6">
            <w:pPr>
              <w:jc w:val="both"/>
              <w:rPr>
                <w:rFonts w:ascii="Times New Roman" w:eastAsia="Times New Roman" w:hAnsi="Times New Roman" w:cs="Times New Roman"/>
                <w:lang w:eastAsia="pt-BR"/>
              </w:rPr>
            </w:pPr>
            <w:r w:rsidRPr="00D91AB2">
              <w:rPr>
                <w:rFonts w:ascii="Times New Roman" w:hAnsi="Times New Roman" w:cs="Times New Roman"/>
              </w:rPr>
              <w:t>Além disso, o profissional responsável pela empresa e realização dos serviços, Sr. Evandro Lenz é graduado em Contabilidade, inscrito no CRC, além disso possui especialização na área de Contabilidade pública, sendo profissional notório e reconhecido na região por seus serviços técnicos especializados e de qualidade desenvolvidos.</w:t>
            </w:r>
          </w:p>
        </w:tc>
      </w:tr>
      <w:tr w:rsidR="00382279" w:rsidRPr="00D91AB2" w14:paraId="00E2F16C" w14:textId="77777777" w:rsidTr="00D4693B">
        <w:tc>
          <w:tcPr>
            <w:tcW w:w="9356" w:type="dxa"/>
            <w:shd w:val="clear" w:color="auto" w:fill="auto"/>
          </w:tcPr>
          <w:p w14:paraId="6CEA2176" w14:textId="518B9336" w:rsidR="00382279" w:rsidRPr="00D91AB2" w:rsidRDefault="00382279" w:rsidP="00382279">
            <w:pPr>
              <w:jc w:val="both"/>
              <w:rPr>
                <w:rFonts w:ascii="Times New Roman" w:eastAsia="Times New Roman" w:hAnsi="Times New Roman" w:cs="Times New Roman"/>
                <w:b/>
              </w:rPr>
            </w:pPr>
            <w:r w:rsidRPr="00D91AB2">
              <w:rPr>
                <w:rFonts w:ascii="Times New Roman" w:eastAsia="Times New Roman" w:hAnsi="Times New Roman" w:cs="Times New Roman"/>
                <w:b/>
              </w:rPr>
              <w:t xml:space="preserve">10. </w:t>
            </w:r>
            <w:r w:rsidR="00BF5DBF" w:rsidRPr="00D91AB2">
              <w:rPr>
                <w:rFonts w:ascii="Times New Roman" w:eastAsia="Times New Roman" w:hAnsi="Times New Roman" w:cs="Times New Roman"/>
                <w:b/>
              </w:rPr>
              <w:t>Justificativa</w:t>
            </w:r>
            <w:r w:rsidRPr="00D91AB2">
              <w:rPr>
                <w:rFonts w:ascii="Times New Roman" w:eastAsia="Times New Roman" w:hAnsi="Times New Roman" w:cs="Times New Roman"/>
                <w:b/>
              </w:rPr>
              <w:t xml:space="preserve"> do valor</w:t>
            </w:r>
          </w:p>
          <w:p w14:paraId="5AC2DEF2" w14:textId="77777777" w:rsidR="00382279" w:rsidRPr="00D91AB2" w:rsidRDefault="00382279" w:rsidP="00382279">
            <w:pPr>
              <w:jc w:val="both"/>
              <w:rPr>
                <w:rFonts w:ascii="Times New Roman" w:hAnsi="Times New Roman" w:cs="Times New Roman"/>
              </w:rPr>
            </w:pPr>
            <w:bookmarkStart w:id="1" w:name="_heading=h.30j0zll" w:colFirst="0" w:colLast="0"/>
            <w:bookmarkStart w:id="2" w:name="_Hlk188967564"/>
            <w:bookmarkEnd w:id="1"/>
            <w:r w:rsidRPr="00D91AB2">
              <w:rPr>
                <w:rFonts w:ascii="Times New Roman" w:hAnsi="Times New Roman" w:cs="Times New Roman"/>
              </w:rPr>
              <w:t>A responsabilidade e o eficiente emprego dos recursos do Erário Público deve ser meta permanente de qualquer Administração. Como se sabe, tendo em vista que o objetivo dos procedimentos licitatórios é selecionar a proposta mais vantajosa à administração, e considerando o caráter excepcional das ressalvas de licitação, um dos requisitos indispensáveis à formalização desses processos é a justificativa do preço.</w:t>
            </w:r>
          </w:p>
          <w:p w14:paraId="00EFD7D7" w14:textId="77777777" w:rsidR="00382279" w:rsidRPr="00D91AB2" w:rsidRDefault="00382279" w:rsidP="00382279">
            <w:pPr>
              <w:jc w:val="both"/>
              <w:rPr>
                <w:rFonts w:ascii="Times New Roman" w:hAnsi="Times New Roman" w:cs="Times New Roman"/>
              </w:rPr>
            </w:pPr>
            <w:r w:rsidRPr="00D91AB2">
              <w:rPr>
                <w:rFonts w:ascii="Times New Roman" w:hAnsi="Times New Roman" w:cs="Times New Roman"/>
              </w:rPr>
              <w:t>Para a contratação pretendida é necessário atender aos incisos II e VII, do art. 72 da Lei 14.133/2021, que estabelece que o processo de contratação direta, que compreende os casos de inexigibilidade e de dispensa de licitação, deverá ser instruído com a estimativa de despesa, que deverá ser calculada na forma estabelecida no art. 23 da referida Lei e Justificativa de Preço. Levando em consideração as características da contratação, especialmente no que diz respeito a singularidade de cada artista, grupo, banda ou coletivo, foi providenciada a estimativa da despesa e sua compatibilidade com os valores praticados no mercado, conforme estabelece o §4º, art. 23 da Lei Federal n.º 14.133/2021, que diz que nas “</w:t>
            </w:r>
            <w:r w:rsidRPr="00D91AB2">
              <w:rPr>
                <w:rFonts w:ascii="Times New Roman" w:hAnsi="Times New Roman" w:cs="Times New Roman"/>
                <w:i/>
                <w:iCs/>
              </w:rPr>
              <w:t>contratações diretas por inexigibilidade ou por dispensa, quando não for possível estimar o valor do objeto na forma estabelecida nos §§ 1º, 2º e 3º deste artigo, o contratado deverá comprovar previamente que os preços estão em conformidade com os praticados em contratações semelhantes de objetos de mesma natureza, por meio da apresentação de notas fiscais emitidas para outros contratantes no período de até 1 (um) ano anterior à data da contratação pela Administração, ou por outro meio idôneo</w:t>
            </w:r>
            <w:r w:rsidRPr="00D91AB2">
              <w:rPr>
                <w:rFonts w:ascii="Times New Roman" w:hAnsi="Times New Roman" w:cs="Times New Roman"/>
              </w:rPr>
              <w:t xml:space="preserve">”. </w:t>
            </w:r>
          </w:p>
          <w:p w14:paraId="0C37F221" w14:textId="77777777" w:rsidR="00382279" w:rsidRPr="00D91AB2" w:rsidRDefault="00382279" w:rsidP="00382279">
            <w:pPr>
              <w:jc w:val="both"/>
              <w:rPr>
                <w:rFonts w:ascii="Times New Roman" w:hAnsi="Times New Roman" w:cs="Times New Roman"/>
              </w:rPr>
            </w:pPr>
            <w:r w:rsidRPr="00D91AB2">
              <w:rPr>
                <w:rFonts w:ascii="Times New Roman" w:hAnsi="Times New Roman" w:cs="Times New Roman"/>
              </w:rPr>
              <w:t xml:space="preserve">Foram apresentados os seguintes contratos vigentes: </w:t>
            </w:r>
          </w:p>
          <w:p w14:paraId="5950971B" w14:textId="4413CFD2" w:rsidR="00382279" w:rsidRPr="00D91AB2" w:rsidRDefault="00382279" w:rsidP="00382279">
            <w:pPr>
              <w:jc w:val="both"/>
              <w:rPr>
                <w:rFonts w:ascii="Times New Roman" w:hAnsi="Times New Roman" w:cs="Times New Roman"/>
              </w:rPr>
            </w:pPr>
            <w:r w:rsidRPr="00D91AB2">
              <w:rPr>
                <w:rFonts w:ascii="Times New Roman" w:hAnsi="Times New Roman" w:cs="Times New Roman"/>
              </w:rPr>
              <w:t xml:space="preserve">1) </w:t>
            </w:r>
            <w:r w:rsidR="006650BB" w:rsidRPr="00D91AB2">
              <w:rPr>
                <w:rFonts w:ascii="Times New Roman" w:hAnsi="Times New Roman" w:cs="Times New Roman"/>
              </w:rPr>
              <w:t>INEXIGIBILIDADE DE LICITAÇÃO Nº 233/2024, do Município de Rio do Sul (SC)</w:t>
            </w:r>
            <w:r w:rsidRPr="00D91AB2">
              <w:rPr>
                <w:rFonts w:ascii="Times New Roman" w:hAnsi="Times New Roman" w:cs="Times New Roman"/>
              </w:rPr>
              <w:t xml:space="preserve">, </w:t>
            </w:r>
            <w:r w:rsidR="006650BB" w:rsidRPr="00D91AB2">
              <w:rPr>
                <w:rFonts w:ascii="Times New Roman" w:hAnsi="Times New Roman" w:cs="Times New Roman"/>
              </w:rPr>
              <w:t>de</w:t>
            </w:r>
            <w:r w:rsidRPr="00D91AB2">
              <w:rPr>
                <w:rFonts w:ascii="Times New Roman" w:hAnsi="Times New Roman" w:cs="Times New Roman"/>
              </w:rPr>
              <w:t xml:space="preserve"> 8 de outubro de 2024, tendo como tomador dos serviços “</w:t>
            </w:r>
            <w:r w:rsidR="006650BB" w:rsidRPr="00D91AB2">
              <w:rPr>
                <w:rFonts w:ascii="Times New Roman" w:hAnsi="Times New Roman" w:cs="Times New Roman"/>
              </w:rPr>
              <w:t xml:space="preserve">DS SERVIÇOS NA GESTÃO PÚBLICA LTDA – CNPJ </w:t>
            </w:r>
            <w:r w:rsidR="00B506E0" w:rsidRPr="00D91AB2">
              <w:rPr>
                <w:rFonts w:ascii="Times New Roman" w:hAnsi="Times New Roman" w:cs="Times New Roman"/>
              </w:rPr>
              <w:t xml:space="preserve">nº </w:t>
            </w:r>
            <w:r w:rsidR="006650BB" w:rsidRPr="00D91AB2">
              <w:rPr>
                <w:rFonts w:ascii="Times New Roman" w:hAnsi="Times New Roman" w:cs="Times New Roman"/>
              </w:rPr>
              <w:t>53.980.588/0001-53</w:t>
            </w:r>
            <w:r w:rsidRPr="00D91AB2">
              <w:rPr>
                <w:rFonts w:ascii="Times New Roman" w:hAnsi="Times New Roman" w:cs="Times New Roman"/>
              </w:rPr>
              <w:t>, no valor mensal de R$ 7.</w:t>
            </w:r>
            <w:r w:rsidR="006650BB" w:rsidRPr="00D91AB2">
              <w:rPr>
                <w:rFonts w:ascii="Times New Roman" w:hAnsi="Times New Roman" w:cs="Times New Roman"/>
              </w:rPr>
              <w:t>4</w:t>
            </w:r>
            <w:r w:rsidRPr="00D91AB2">
              <w:rPr>
                <w:rFonts w:ascii="Times New Roman" w:hAnsi="Times New Roman" w:cs="Times New Roman"/>
              </w:rPr>
              <w:t xml:space="preserve">00,00 (sete mil e </w:t>
            </w:r>
            <w:r w:rsidR="006650BB" w:rsidRPr="00D91AB2">
              <w:rPr>
                <w:rFonts w:ascii="Times New Roman" w:hAnsi="Times New Roman" w:cs="Times New Roman"/>
              </w:rPr>
              <w:t>quatrocentos</w:t>
            </w:r>
            <w:r w:rsidRPr="00D91AB2">
              <w:rPr>
                <w:rFonts w:ascii="Times New Roman" w:hAnsi="Times New Roman" w:cs="Times New Roman"/>
              </w:rPr>
              <w:t xml:space="preserve"> reais); </w:t>
            </w:r>
          </w:p>
          <w:p w14:paraId="03C1D837" w14:textId="3DB71F11" w:rsidR="00382279" w:rsidRPr="00D91AB2" w:rsidRDefault="00382279" w:rsidP="00382279">
            <w:pPr>
              <w:jc w:val="both"/>
              <w:rPr>
                <w:rFonts w:ascii="Times New Roman" w:hAnsi="Times New Roman" w:cs="Times New Roman"/>
                <w:color w:val="FF0000"/>
              </w:rPr>
            </w:pPr>
            <w:r w:rsidRPr="00D91AB2">
              <w:rPr>
                <w:rFonts w:ascii="Times New Roman" w:hAnsi="Times New Roman" w:cs="Times New Roman"/>
              </w:rPr>
              <w:t xml:space="preserve">2) </w:t>
            </w:r>
            <w:r w:rsidR="00B506E0" w:rsidRPr="00D91AB2">
              <w:rPr>
                <w:rFonts w:ascii="Times New Roman" w:hAnsi="Times New Roman" w:cs="Times New Roman"/>
              </w:rPr>
              <w:t xml:space="preserve">INEXIGIBILIDADE DE LICITAÇÃO Nº 04/2024, do Município de São João do </w:t>
            </w:r>
            <w:proofErr w:type="spellStart"/>
            <w:r w:rsidR="00B506E0" w:rsidRPr="00D91AB2">
              <w:rPr>
                <w:rFonts w:ascii="Times New Roman" w:hAnsi="Times New Roman" w:cs="Times New Roman"/>
              </w:rPr>
              <w:t>Itaperiú</w:t>
            </w:r>
            <w:proofErr w:type="spellEnd"/>
            <w:r w:rsidR="00B506E0" w:rsidRPr="00D91AB2">
              <w:rPr>
                <w:rFonts w:ascii="Times New Roman" w:hAnsi="Times New Roman" w:cs="Times New Roman"/>
              </w:rPr>
              <w:t xml:space="preserve"> (SC), de </w:t>
            </w:r>
            <w:r w:rsidR="003C634C" w:rsidRPr="00D91AB2">
              <w:rPr>
                <w:rFonts w:ascii="Times New Roman" w:hAnsi="Times New Roman" w:cs="Times New Roman"/>
              </w:rPr>
              <w:t>6</w:t>
            </w:r>
            <w:r w:rsidR="00B506E0" w:rsidRPr="00D91AB2">
              <w:rPr>
                <w:rFonts w:ascii="Times New Roman" w:hAnsi="Times New Roman" w:cs="Times New Roman"/>
              </w:rPr>
              <w:t xml:space="preserve"> de </w:t>
            </w:r>
            <w:r w:rsidR="003C634C" w:rsidRPr="00D91AB2">
              <w:rPr>
                <w:rFonts w:ascii="Times New Roman" w:hAnsi="Times New Roman" w:cs="Times New Roman"/>
              </w:rPr>
              <w:t>junho</w:t>
            </w:r>
            <w:r w:rsidR="00B506E0" w:rsidRPr="00D91AB2">
              <w:rPr>
                <w:rFonts w:ascii="Times New Roman" w:hAnsi="Times New Roman" w:cs="Times New Roman"/>
              </w:rPr>
              <w:t xml:space="preserve"> de 2024, tendo como tomador dos serviços “</w:t>
            </w:r>
            <w:r w:rsidR="00B506E0" w:rsidRPr="00D91AB2">
              <w:rPr>
                <w:rFonts w:ascii="Times New Roman" w:hAnsi="Times New Roman" w:cs="Times New Roman"/>
                <w:b/>
                <w:bCs/>
              </w:rPr>
              <w:t xml:space="preserve">ASSESSORE CONSULTORIA EIRELI-ME </w:t>
            </w:r>
            <w:r w:rsidR="00B506E0" w:rsidRPr="00D91AB2">
              <w:rPr>
                <w:rFonts w:ascii="Times New Roman" w:hAnsi="Times New Roman" w:cs="Times New Roman"/>
              </w:rPr>
              <w:t>– CNPJ nº 26.453.080/0001-24, no valor mensal de R$ 8.400,00 (oito mil e quatrocentos reais);</w:t>
            </w:r>
          </w:p>
          <w:p w14:paraId="383D4175" w14:textId="67FDA2A8" w:rsidR="002C59CA" w:rsidRPr="00BE0142" w:rsidRDefault="002C59CA" w:rsidP="002C59CA">
            <w:pPr>
              <w:spacing w:line="259" w:lineRule="auto"/>
              <w:jc w:val="both"/>
              <w:rPr>
                <w:rFonts w:ascii="Times New Roman" w:hAnsi="Times New Roman" w:cs="Times New Roman"/>
              </w:rPr>
            </w:pPr>
            <w:r w:rsidRPr="00BE0142">
              <w:rPr>
                <w:rFonts w:ascii="Times New Roman" w:hAnsi="Times New Roman" w:cs="Times New Roman"/>
              </w:rPr>
              <w:t xml:space="preserve">Nota fiscal n.º 202400000000580, emitida em 09 de dezembro de 2024, tendo como tomador dos serviços “MUNICÍPIO DE SALTINHO - SC”, inscrito no CNPJ n.º 01.612.844/0001-56, no valor unitário de R$ 7.397,18 (sete mil, trezentos e noventa e sete reais e dezoito centavos). </w:t>
            </w:r>
          </w:p>
          <w:p w14:paraId="5B55AD37" w14:textId="478903E3" w:rsidR="00382279" w:rsidRPr="00D91AB2" w:rsidRDefault="00382279" w:rsidP="00382279">
            <w:pPr>
              <w:jc w:val="both"/>
              <w:rPr>
                <w:rFonts w:ascii="Times New Roman" w:hAnsi="Times New Roman" w:cs="Times New Roman"/>
                <w:b/>
                <w:color w:val="FF0000"/>
              </w:rPr>
            </w:pPr>
            <w:r w:rsidRPr="00D91AB2">
              <w:rPr>
                <w:rFonts w:ascii="Times New Roman" w:hAnsi="Times New Roman" w:cs="Times New Roman"/>
              </w:rPr>
              <w:t xml:space="preserve">Assim, como pode ser observado, o valor que o Município de Palmitos pretende contratar pela assessoria será de R$ 7.500,00 (sete mil e quinhentos reais) mensal, conforme Carta Proposta apresentada e que se </w:t>
            </w:r>
            <w:r w:rsidRPr="00D91AB2">
              <w:rPr>
                <w:rFonts w:ascii="Times New Roman" w:hAnsi="Times New Roman" w:cs="Times New Roman"/>
              </w:rPr>
              <w:lastRenderedPageBreak/>
              <w:t>mostra compatível com o valor praticado em contratações anteriores, com base nos documentos apresentados pelo contratado</w:t>
            </w:r>
            <w:bookmarkEnd w:id="2"/>
            <w:r w:rsidRPr="00D91AB2">
              <w:rPr>
                <w:rFonts w:ascii="Times New Roman" w:hAnsi="Times New Roman" w:cs="Times New Roman"/>
              </w:rPr>
              <w:t>.</w:t>
            </w:r>
          </w:p>
        </w:tc>
      </w:tr>
      <w:tr w:rsidR="00BF3919" w:rsidRPr="00D91AB2" w14:paraId="71D38760" w14:textId="77777777" w:rsidTr="00D4693B">
        <w:tc>
          <w:tcPr>
            <w:tcW w:w="9356" w:type="dxa"/>
            <w:shd w:val="clear" w:color="auto" w:fill="auto"/>
          </w:tcPr>
          <w:p w14:paraId="5233BC18" w14:textId="5F3E0D4A" w:rsidR="00BF3919" w:rsidRPr="00D91AB2" w:rsidRDefault="004C0874" w:rsidP="00D206AB">
            <w:pPr>
              <w:jc w:val="both"/>
              <w:rPr>
                <w:rFonts w:ascii="Times New Roman" w:hAnsi="Times New Roman" w:cs="Times New Roman"/>
                <w:b/>
                <w:bCs/>
              </w:rPr>
            </w:pPr>
            <w:r w:rsidRPr="00D91AB2">
              <w:rPr>
                <w:rFonts w:ascii="Times New Roman" w:hAnsi="Times New Roman" w:cs="Times New Roman"/>
                <w:b/>
                <w:bCs/>
              </w:rPr>
              <w:lastRenderedPageBreak/>
              <w:t>10.</w:t>
            </w:r>
            <w:r w:rsidR="00BF3919" w:rsidRPr="00D91AB2">
              <w:rPr>
                <w:rFonts w:ascii="Times New Roman" w:hAnsi="Times New Roman" w:cs="Times New Roman"/>
                <w:b/>
                <w:bCs/>
              </w:rPr>
              <w:t xml:space="preserve"> CONTRATADA: </w:t>
            </w:r>
          </w:p>
          <w:p w14:paraId="3E021B06" w14:textId="3E98AE2C" w:rsidR="00276BA9" w:rsidRPr="00D91AB2" w:rsidRDefault="0091425E" w:rsidP="0091425E">
            <w:pPr>
              <w:jc w:val="both"/>
              <w:rPr>
                <w:rFonts w:ascii="Times New Roman" w:hAnsi="Times New Roman" w:cs="Times New Roman"/>
                <w:b/>
                <w:bCs/>
                <w:spacing w:val="-10"/>
              </w:rPr>
            </w:pPr>
            <w:r w:rsidRPr="00D91AB2">
              <w:rPr>
                <w:rFonts w:ascii="Times New Roman" w:hAnsi="Times New Roman" w:cs="Times New Roman"/>
                <w:b/>
                <w:bCs/>
                <w:spacing w:val="-10"/>
              </w:rPr>
              <w:t xml:space="preserve">CONTARE - ASSESSORIA E NEGÓCIOS EIRELI, </w:t>
            </w:r>
            <w:r w:rsidRPr="00D91AB2">
              <w:rPr>
                <w:rFonts w:ascii="Times New Roman" w:hAnsi="Times New Roman" w:cs="Times New Roman"/>
                <w:spacing w:val="-10"/>
              </w:rPr>
              <w:t xml:space="preserve">inscrita no CNPJ sob o n° 06.300.204/0001-24, com sede na Rua Christian Scholl, nº 107, sala 2, Centro, no Município de RIQUEZA, SC, CEP: 89.895-000, contato através do telefone: 49 9.9934-3311, e e-mail: contadores-el@gmail.com representada neste ato pelo seu representante legal, Sr. </w:t>
            </w:r>
            <w:r w:rsidRPr="00D91AB2">
              <w:rPr>
                <w:rFonts w:ascii="Times New Roman" w:hAnsi="Times New Roman" w:cs="Times New Roman"/>
                <w:b/>
                <w:bCs/>
                <w:spacing w:val="-10"/>
              </w:rPr>
              <w:t>EVANDO MARCIO LENZ</w:t>
            </w:r>
          </w:p>
        </w:tc>
      </w:tr>
      <w:tr w:rsidR="00BF3919" w:rsidRPr="00D91AB2" w14:paraId="6CBA5309" w14:textId="77777777" w:rsidTr="00D4693B">
        <w:tc>
          <w:tcPr>
            <w:tcW w:w="9356" w:type="dxa"/>
            <w:shd w:val="clear" w:color="auto" w:fill="auto"/>
          </w:tcPr>
          <w:p w14:paraId="5ECEDC29" w14:textId="406A205C" w:rsidR="00BF3919" w:rsidRPr="00D91AB2" w:rsidRDefault="004C0874" w:rsidP="00D206AB">
            <w:pPr>
              <w:jc w:val="both"/>
              <w:rPr>
                <w:rFonts w:ascii="Times New Roman" w:hAnsi="Times New Roman" w:cs="Times New Roman"/>
                <w:b/>
                <w:bCs/>
              </w:rPr>
            </w:pPr>
            <w:r w:rsidRPr="00D91AB2">
              <w:rPr>
                <w:rFonts w:ascii="Times New Roman" w:hAnsi="Times New Roman" w:cs="Times New Roman"/>
                <w:b/>
                <w:bCs/>
              </w:rPr>
              <w:t>11.</w:t>
            </w:r>
            <w:r w:rsidR="00BF3919" w:rsidRPr="00D91AB2">
              <w:rPr>
                <w:rFonts w:ascii="Times New Roman" w:hAnsi="Times New Roman" w:cs="Times New Roman"/>
                <w:b/>
                <w:bCs/>
              </w:rPr>
              <w:t xml:space="preserve"> FUNDAMENTAÇÃO LEGAL:</w:t>
            </w:r>
          </w:p>
          <w:p w14:paraId="3DB67D05" w14:textId="684DEF0F" w:rsidR="0091425E" w:rsidRPr="00D91AB2" w:rsidRDefault="0091425E" w:rsidP="005977DF">
            <w:pPr>
              <w:pStyle w:val="PargrafodaLista"/>
              <w:widowControl w:val="0"/>
              <w:numPr>
                <w:ilvl w:val="0"/>
                <w:numId w:val="16"/>
              </w:numPr>
              <w:tabs>
                <w:tab w:val="left" w:pos="567"/>
                <w:tab w:val="left" w:pos="1418"/>
              </w:tabs>
              <w:adjustRightInd w:val="0"/>
              <w:ind w:left="0" w:firstLine="0"/>
              <w:jc w:val="both"/>
              <w:textAlignment w:val="baseline"/>
              <w:rPr>
                <w:rFonts w:ascii="Times New Roman" w:hAnsi="Times New Roman" w:cs="Times New Roman"/>
              </w:rPr>
            </w:pPr>
            <w:r w:rsidRPr="00D91AB2">
              <w:rPr>
                <w:rFonts w:ascii="Times New Roman" w:hAnsi="Times New Roman" w:cs="Times New Roman"/>
              </w:rPr>
              <w:t>Art. 74, inciso III, alínea “c” c/c alínea “f”, da Lei nº 14.133/21, c/c Lei 14.039/2020 e Parecer nº 001/2023/CNLCA/CGU/AGU</w:t>
            </w:r>
          </w:p>
          <w:p w14:paraId="082DE301" w14:textId="10D901CC" w:rsidR="0091425E" w:rsidRPr="00D91AB2" w:rsidRDefault="0091425E" w:rsidP="007F36A6">
            <w:pPr>
              <w:widowControl w:val="0"/>
              <w:ind w:firstLine="708"/>
              <w:jc w:val="both"/>
              <w:rPr>
                <w:rFonts w:ascii="Times New Roman" w:hAnsi="Times New Roman" w:cs="Times New Roman"/>
              </w:rPr>
            </w:pPr>
            <w:r w:rsidRPr="00D91AB2">
              <w:rPr>
                <w:rFonts w:ascii="Times New Roman" w:hAnsi="Times New Roman" w:cs="Times New Roman"/>
              </w:rPr>
              <w:t xml:space="preserve">A presente autorização de inexigibilidade de licitação encontra fundamentação legal no art. 74, inciso III, alínea c) c/c alínea f), da Lei nº 14.133/2023 e alterações, que dispõe: </w:t>
            </w:r>
          </w:p>
          <w:p w14:paraId="636A4D77" w14:textId="77777777" w:rsidR="0091425E" w:rsidRPr="00D91AB2" w:rsidRDefault="0091425E" w:rsidP="0091425E">
            <w:pPr>
              <w:widowControl w:val="0"/>
              <w:ind w:left="2268"/>
              <w:jc w:val="both"/>
              <w:rPr>
                <w:rFonts w:ascii="Times New Roman" w:hAnsi="Times New Roman" w:cs="Times New Roman"/>
              </w:rPr>
            </w:pPr>
            <w:r w:rsidRPr="00D91AB2">
              <w:rPr>
                <w:rFonts w:ascii="Times New Roman" w:hAnsi="Times New Roman" w:cs="Times New Roman"/>
              </w:rPr>
              <w:t>Art. 74. É inexigível a licitação quando inviável a competição, em especial nos casos de:</w:t>
            </w:r>
          </w:p>
          <w:p w14:paraId="002ABF9A" w14:textId="77777777" w:rsidR="0091425E" w:rsidRPr="00D91AB2" w:rsidRDefault="0091425E" w:rsidP="0091425E">
            <w:pPr>
              <w:widowControl w:val="0"/>
              <w:ind w:left="2268"/>
              <w:jc w:val="both"/>
              <w:rPr>
                <w:rFonts w:ascii="Times New Roman" w:hAnsi="Times New Roman" w:cs="Times New Roman"/>
              </w:rPr>
            </w:pPr>
            <w:r w:rsidRPr="00D91AB2">
              <w:rPr>
                <w:rFonts w:ascii="Times New Roman" w:hAnsi="Times New Roman" w:cs="Times New Roman"/>
              </w:rPr>
              <w:t>[...]</w:t>
            </w:r>
          </w:p>
          <w:p w14:paraId="0305239B" w14:textId="77777777" w:rsidR="0091425E" w:rsidRPr="00D91AB2" w:rsidRDefault="0091425E" w:rsidP="0091425E">
            <w:pPr>
              <w:widowControl w:val="0"/>
              <w:ind w:left="2268"/>
              <w:jc w:val="both"/>
              <w:rPr>
                <w:rFonts w:ascii="Times New Roman" w:hAnsi="Times New Roman" w:cs="Times New Roman"/>
              </w:rPr>
            </w:pPr>
            <w:r w:rsidRPr="00D91AB2">
              <w:rPr>
                <w:rFonts w:ascii="Times New Roman" w:hAnsi="Times New Roman" w:cs="Times New Roman"/>
              </w:rPr>
              <w:t>III - contratação dos seguintes serviços técnicos especializados de natureza predominantemente intelectual com profissionais ou empresas de notória especialização, vedada a inexigibilidade para serviços de publicidade e divulgação:</w:t>
            </w:r>
          </w:p>
          <w:p w14:paraId="7733AEAC" w14:textId="77777777" w:rsidR="0091425E" w:rsidRPr="00D91AB2" w:rsidRDefault="0091425E" w:rsidP="0091425E">
            <w:pPr>
              <w:widowControl w:val="0"/>
              <w:ind w:left="2268"/>
              <w:jc w:val="both"/>
              <w:rPr>
                <w:rFonts w:ascii="Times New Roman" w:hAnsi="Times New Roman" w:cs="Times New Roman"/>
              </w:rPr>
            </w:pPr>
            <w:r w:rsidRPr="00D91AB2">
              <w:rPr>
                <w:rFonts w:ascii="Times New Roman" w:hAnsi="Times New Roman" w:cs="Times New Roman"/>
              </w:rPr>
              <w:t>[...]</w:t>
            </w:r>
          </w:p>
          <w:p w14:paraId="14C101FF" w14:textId="77777777" w:rsidR="0091425E" w:rsidRPr="00D91AB2" w:rsidRDefault="0091425E" w:rsidP="0091425E">
            <w:pPr>
              <w:widowControl w:val="0"/>
              <w:ind w:left="2268"/>
              <w:jc w:val="both"/>
              <w:rPr>
                <w:rFonts w:ascii="Times New Roman" w:hAnsi="Times New Roman" w:cs="Times New Roman"/>
              </w:rPr>
            </w:pPr>
            <w:r w:rsidRPr="00D91AB2">
              <w:rPr>
                <w:rFonts w:ascii="Times New Roman" w:hAnsi="Times New Roman" w:cs="Times New Roman"/>
              </w:rPr>
              <w:t>c) assessorias ou consultorias técnicas e auditorias financeiras ou tributárias;</w:t>
            </w:r>
          </w:p>
          <w:p w14:paraId="4B76617D" w14:textId="77777777" w:rsidR="0091425E" w:rsidRPr="00D91AB2" w:rsidRDefault="0091425E" w:rsidP="0091425E">
            <w:pPr>
              <w:widowControl w:val="0"/>
              <w:ind w:left="2268"/>
              <w:jc w:val="both"/>
              <w:rPr>
                <w:rFonts w:ascii="Times New Roman" w:hAnsi="Times New Roman" w:cs="Times New Roman"/>
              </w:rPr>
            </w:pPr>
            <w:r w:rsidRPr="00D91AB2">
              <w:rPr>
                <w:rFonts w:ascii="Times New Roman" w:hAnsi="Times New Roman" w:cs="Times New Roman"/>
              </w:rPr>
              <w:t>[...]</w:t>
            </w:r>
          </w:p>
          <w:p w14:paraId="28A76529" w14:textId="70269F6F" w:rsidR="0091425E" w:rsidRPr="00D91AB2" w:rsidRDefault="0091425E" w:rsidP="007F36A6">
            <w:pPr>
              <w:widowControl w:val="0"/>
              <w:jc w:val="both"/>
              <w:rPr>
                <w:rFonts w:ascii="Times New Roman" w:hAnsi="Times New Roman" w:cs="Times New Roman"/>
              </w:rPr>
            </w:pPr>
            <w:r w:rsidRPr="00D91AB2">
              <w:rPr>
                <w:rFonts w:ascii="Times New Roman" w:hAnsi="Times New Roman" w:cs="Times New Roman"/>
              </w:rPr>
              <w:tab/>
            </w:r>
            <w:r w:rsidRPr="00D91AB2">
              <w:rPr>
                <w:rFonts w:ascii="Times New Roman" w:hAnsi="Times New Roman" w:cs="Times New Roman"/>
              </w:rPr>
              <w:tab/>
            </w:r>
            <w:r w:rsidRPr="00D91AB2">
              <w:rPr>
                <w:rFonts w:ascii="Times New Roman" w:hAnsi="Times New Roman" w:cs="Times New Roman"/>
              </w:rPr>
              <w:tab/>
              <w:t xml:space="preserve">   f) treinamento e aperfeiçoamento de pessoal;</w:t>
            </w:r>
          </w:p>
          <w:p w14:paraId="38E08E8B" w14:textId="77777777" w:rsidR="0091425E" w:rsidRPr="00D91AB2" w:rsidRDefault="0091425E" w:rsidP="0091425E">
            <w:pPr>
              <w:ind w:firstLine="709"/>
              <w:jc w:val="both"/>
              <w:rPr>
                <w:rFonts w:ascii="Times New Roman" w:hAnsi="Times New Roman" w:cs="Times New Roman"/>
              </w:rPr>
            </w:pPr>
            <w:r w:rsidRPr="00D91AB2">
              <w:rPr>
                <w:rFonts w:ascii="Times New Roman" w:hAnsi="Times New Roman" w:cs="Times New Roman"/>
              </w:rPr>
              <w:t xml:space="preserve">Nota-se que a hipótese de inexigibilidade de licitação, fundada no inc. III do art. 74 da Lei 14.133/2021, trouxe uma situação diferente, visto não exigir expressamente o requisito da singularidade, antes existente na Lei 8.666/93, sobre o assunto, leciona Joel Menezes </w:t>
            </w:r>
            <w:proofErr w:type="spellStart"/>
            <w:r w:rsidRPr="00D91AB2">
              <w:rPr>
                <w:rFonts w:ascii="Times New Roman" w:hAnsi="Times New Roman" w:cs="Times New Roman"/>
              </w:rPr>
              <w:t>Niebuhr</w:t>
            </w:r>
            <w:proofErr w:type="spellEnd"/>
            <w:r w:rsidRPr="00D91AB2">
              <w:rPr>
                <w:rFonts w:ascii="Times New Roman" w:hAnsi="Times New Roman" w:cs="Times New Roman"/>
              </w:rPr>
              <w:t xml:space="preserve">, in </w:t>
            </w:r>
            <w:proofErr w:type="spellStart"/>
            <w:r w:rsidRPr="00D91AB2">
              <w:rPr>
                <w:rFonts w:ascii="Times New Roman" w:hAnsi="Times New Roman" w:cs="Times New Roman"/>
              </w:rPr>
              <w:t>verbis</w:t>
            </w:r>
            <w:proofErr w:type="spellEnd"/>
            <w:r w:rsidRPr="00D91AB2">
              <w:rPr>
                <w:rStyle w:val="Refdenotaderodap"/>
                <w:rFonts w:ascii="Times New Roman" w:hAnsi="Times New Roman" w:cs="Times New Roman"/>
              </w:rPr>
              <w:footnoteReference w:id="1"/>
            </w:r>
            <w:r w:rsidRPr="00D91AB2">
              <w:rPr>
                <w:rFonts w:ascii="Times New Roman" w:hAnsi="Times New Roman" w:cs="Times New Roman"/>
              </w:rPr>
              <w:t>:</w:t>
            </w:r>
          </w:p>
          <w:p w14:paraId="556715EB" w14:textId="14BF6B99" w:rsidR="0091425E" w:rsidRPr="00D91AB2" w:rsidRDefault="0091425E" w:rsidP="007F36A6">
            <w:pPr>
              <w:ind w:left="2268"/>
              <w:jc w:val="both"/>
              <w:rPr>
                <w:rFonts w:ascii="Times New Roman" w:hAnsi="Times New Roman" w:cs="Times New Roman"/>
              </w:rPr>
            </w:pPr>
            <w:r w:rsidRPr="00D91AB2">
              <w:rPr>
                <w:rFonts w:ascii="Times New Roman" w:hAnsi="Times New Roman" w:cs="Times New Roman"/>
              </w:rPr>
              <w:t>Dito de outro modo, se o serviço é ordinário ou comum (não singular) e quaisquer profissionais ou empresas podem prestá-lo, não se visualiza a inviabilidade de competição, que é a premissa lógica de qualquer hipótese de inexigibilidade de licitação. Dessa forma, ainda que isto não esteja escrito de forma direta, a hipótese de inexigibilidade do inciso III do artigo 74 da Lei n. 14.133/2021 é sim condicionada e depende de serviços singulares, e não encontra lugar para a contratação de serviços ordinários e comuns.</w:t>
            </w:r>
          </w:p>
          <w:p w14:paraId="73A3BAB7" w14:textId="0E8F933E" w:rsidR="0091425E" w:rsidRPr="00D91AB2" w:rsidRDefault="0091425E" w:rsidP="0091425E">
            <w:pPr>
              <w:jc w:val="both"/>
              <w:rPr>
                <w:rFonts w:ascii="Times New Roman" w:hAnsi="Times New Roman" w:cs="Times New Roman"/>
              </w:rPr>
            </w:pPr>
            <w:r w:rsidRPr="00D91AB2">
              <w:rPr>
                <w:rFonts w:ascii="Times New Roman" w:hAnsi="Times New Roman" w:cs="Times New Roman"/>
              </w:rPr>
              <w:tab/>
              <w:t>A lei de licitações das estatais (inciso II do artigo 30 da Lei n. 13.303/2016) já havia inovado ao não prever a hipótese de singularidade como condição para a inexigibilidade de licitação nesse caso, sobre tal dispositivo o TCU se posicionou:</w:t>
            </w:r>
          </w:p>
          <w:p w14:paraId="68506D41" w14:textId="35107004" w:rsidR="0091425E" w:rsidRPr="00D91AB2" w:rsidRDefault="0091425E" w:rsidP="007F36A6">
            <w:pPr>
              <w:ind w:left="2268"/>
              <w:jc w:val="both"/>
              <w:rPr>
                <w:rFonts w:ascii="Times New Roman" w:hAnsi="Times New Roman" w:cs="Times New Roman"/>
              </w:rPr>
            </w:pPr>
            <w:r w:rsidRPr="00D91AB2">
              <w:rPr>
                <w:rFonts w:ascii="Times New Roman" w:hAnsi="Times New Roman" w:cs="Times New Roman"/>
              </w:rPr>
              <w:t>A contratação direta de escritório de advocacia por empresa estatal encontra amparo no art. 30, inciso II, alínea "e", da Lei 13.303/2016, desde que presentes os requisitos concernentes à especialidade e à singularidade do serviço, aliados à notória especialização do contratado.</w:t>
            </w:r>
            <w:r w:rsidRPr="00D91AB2">
              <w:rPr>
                <w:rStyle w:val="Refdenotaderodap"/>
                <w:rFonts w:ascii="Times New Roman" w:hAnsi="Times New Roman" w:cs="Times New Roman"/>
              </w:rPr>
              <w:footnoteReference w:id="2"/>
            </w:r>
            <w:r w:rsidRPr="00D91AB2">
              <w:rPr>
                <w:rFonts w:ascii="Times New Roman" w:hAnsi="Times New Roman" w:cs="Times New Roman"/>
              </w:rPr>
              <w:tab/>
            </w:r>
          </w:p>
          <w:p w14:paraId="69838AFB" w14:textId="52A60FA9" w:rsidR="0091425E" w:rsidRPr="00D91AB2" w:rsidRDefault="0091425E" w:rsidP="0091425E">
            <w:pPr>
              <w:ind w:firstLine="708"/>
              <w:jc w:val="both"/>
              <w:rPr>
                <w:rFonts w:ascii="Times New Roman" w:hAnsi="Times New Roman" w:cs="Times New Roman"/>
              </w:rPr>
            </w:pPr>
            <w:r w:rsidRPr="00D91AB2">
              <w:rPr>
                <w:rFonts w:ascii="Times New Roman" w:hAnsi="Times New Roman" w:cs="Times New Roman"/>
              </w:rPr>
              <w:t>Ainda, a jurisprudência do Tribunal de Contas da União, com base ainda na legislação anterior, mas que carrega nessa nova lei traços parecidos quanto a inexigibilidade, destaco o seguinte acórdão nº 2993/2018:</w:t>
            </w:r>
          </w:p>
          <w:p w14:paraId="7677A71B" w14:textId="77777777" w:rsidR="0091425E" w:rsidRPr="00D91AB2" w:rsidRDefault="0091425E" w:rsidP="0091425E">
            <w:pPr>
              <w:ind w:left="2268"/>
              <w:jc w:val="both"/>
              <w:rPr>
                <w:rFonts w:ascii="Times New Roman" w:hAnsi="Times New Roman" w:cs="Times New Roman"/>
              </w:rPr>
            </w:pPr>
            <w:r w:rsidRPr="00D91AB2">
              <w:rPr>
                <w:rFonts w:ascii="Times New Roman" w:hAnsi="Times New Roman" w:cs="Times New Roman"/>
              </w:rPr>
              <w:t xml:space="preserve">O </w:t>
            </w:r>
            <w:r w:rsidRPr="00D91AB2">
              <w:rPr>
                <w:rFonts w:ascii="Times New Roman" w:hAnsi="Times New Roman" w:cs="Times New Roman"/>
                <w:b/>
                <w:bCs/>
              </w:rPr>
              <w:t>conceito de singularidade</w:t>
            </w:r>
            <w:r w:rsidRPr="00D91AB2">
              <w:rPr>
                <w:rFonts w:ascii="Times New Roman" w:hAnsi="Times New Roman" w:cs="Times New Roman"/>
              </w:rPr>
              <w:t xml:space="preserve"> de que trata o art. 25, inciso II, da Lei 8.666/1993 </w:t>
            </w:r>
            <w:r w:rsidRPr="00D91AB2">
              <w:rPr>
                <w:rFonts w:ascii="Times New Roman" w:hAnsi="Times New Roman" w:cs="Times New Roman"/>
                <w:b/>
                <w:bCs/>
              </w:rPr>
              <w:t xml:space="preserve">não está vinculado à ideia de unicidade, mas de complexidade e especificidade. </w:t>
            </w:r>
            <w:r w:rsidRPr="00D91AB2">
              <w:rPr>
                <w:rFonts w:ascii="Times New Roman" w:hAnsi="Times New Roman" w:cs="Times New Roman"/>
              </w:rPr>
              <w:t xml:space="preserve">Dessa forma, </w:t>
            </w:r>
            <w:r w:rsidRPr="00D91AB2">
              <w:rPr>
                <w:rFonts w:ascii="Times New Roman" w:hAnsi="Times New Roman" w:cs="Times New Roman"/>
                <w:b/>
                <w:bCs/>
              </w:rPr>
              <w:t>a natureza singular não deve ser compreendida como ausência de pluralidade de sujeitos em condições de executar o objeto</w:t>
            </w:r>
            <w:r w:rsidRPr="00D91AB2">
              <w:rPr>
                <w:rFonts w:ascii="Times New Roman" w:hAnsi="Times New Roman" w:cs="Times New Roman"/>
              </w:rPr>
              <w:t>, mas sim como uma situação diferenciada e sofisticada a exigir acentuado nível de segurança e cuidado.</w:t>
            </w:r>
          </w:p>
          <w:p w14:paraId="6752B489" w14:textId="77777777" w:rsidR="0091425E" w:rsidRPr="00D91AB2" w:rsidRDefault="0091425E" w:rsidP="0091425E">
            <w:pPr>
              <w:jc w:val="both"/>
              <w:rPr>
                <w:rFonts w:ascii="Times New Roman" w:hAnsi="Times New Roman" w:cs="Times New Roman"/>
              </w:rPr>
            </w:pPr>
            <w:r w:rsidRPr="00D91AB2">
              <w:rPr>
                <w:rFonts w:ascii="Times New Roman" w:hAnsi="Times New Roman" w:cs="Times New Roman"/>
              </w:rPr>
              <w:lastRenderedPageBreak/>
              <w:tab/>
            </w:r>
          </w:p>
          <w:p w14:paraId="6A128E94" w14:textId="47B3A7CD" w:rsidR="0091425E" w:rsidRPr="00D91AB2" w:rsidRDefault="0091425E" w:rsidP="0091425E">
            <w:pPr>
              <w:jc w:val="both"/>
              <w:rPr>
                <w:rFonts w:ascii="Times New Roman" w:hAnsi="Times New Roman" w:cs="Times New Roman"/>
              </w:rPr>
            </w:pPr>
            <w:r w:rsidRPr="00D91AB2">
              <w:rPr>
                <w:rFonts w:ascii="Times New Roman" w:hAnsi="Times New Roman" w:cs="Times New Roman"/>
              </w:rPr>
              <w:tab/>
              <w:t>Sobre esse assunto, bastante controvertido, prevê o mestre Marçal, em sua obra sobre a Nova Lei de Licitações</w:t>
            </w:r>
            <w:r w:rsidRPr="00D91AB2">
              <w:rPr>
                <w:rStyle w:val="Refdenotaderodap"/>
                <w:rFonts w:ascii="Times New Roman" w:hAnsi="Times New Roman" w:cs="Times New Roman"/>
              </w:rPr>
              <w:footnoteReference w:id="3"/>
            </w:r>
            <w:r w:rsidRPr="00D91AB2">
              <w:rPr>
                <w:rFonts w:ascii="Times New Roman" w:hAnsi="Times New Roman" w:cs="Times New Roman"/>
              </w:rPr>
              <w:t>:</w:t>
            </w:r>
            <w:r w:rsidRPr="00D91AB2">
              <w:rPr>
                <w:rFonts w:ascii="Times New Roman" w:hAnsi="Times New Roman" w:cs="Times New Roman"/>
              </w:rPr>
              <w:tab/>
            </w:r>
          </w:p>
          <w:p w14:paraId="18408A1F" w14:textId="52394268" w:rsidR="0091425E" w:rsidRPr="00D91AB2" w:rsidRDefault="0091425E" w:rsidP="007F36A6">
            <w:pPr>
              <w:ind w:left="2268"/>
              <w:jc w:val="both"/>
              <w:rPr>
                <w:rFonts w:ascii="Times New Roman" w:hAnsi="Times New Roman" w:cs="Times New Roman"/>
              </w:rPr>
            </w:pPr>
            <w:r w:rsidRPr="00D91AB2">
              <w:rPr>
                <w:rFonts w:ascii="Times New Roman" w:hAnsi="Times New Roman" w:cs="Times New Roman"/>
              </w:rPr>
              <w:t xml:space="preserve">A eliminação da referência a “objeto singular” não implica negar a relevância das necessidades diferenciadas da Administração. A contratação direta, nas hipóteses do inc. III do art. 74, é autorizada por se tratar de atendimento a </w:t>
            </w:r>
            <w:r w:rsidRPr="00D91AB2">
              <w:rPr>
                <w:rFonts w:ascii="Times New Roman" w:hAnsi="Times New Roman" w:cs="Times New Roman"/>
                <w:b/>
                <w:bCs/>
              </w:rPr>
              <w:t>necessidades peculiares da Administração.</w:t>
            </w:r>
            <w:r w:rsidRPr="00D91AB2">
              <w:rPr>
                <w:rFonts w:ascii="Times New Roman" w:hAnsi="Times New Roman" w:cs="Times New Roman"/>
              </w:rPr>
              <w:t xml:space="preserve"> Não se trata de ignorar a alteração redacional adotada pela lei 14.133/2021, mas de reconhecer que a inviabilidade de competição decorre de circunstâncias específicas e diferenciadas. Tais circunstâncias não se encontram apenas na prestação a ser executada, mas se relacionam com necessidades diferenciadas da Administração. </w:t>
            </w:r>
            <w:r w:rsidRPr="00D91AB2">
              <w:rPr>
                <w:rFonts w:ascii="Times New Roman" w:hAnsi="Times New Roman" w:cs="Times New Roman"/>
              </w:rPr>
              <w:tab/>
            </w:r>
          </w:p>
          <w:p w14:paraId="29E0B8A9" w14:textId="79B56EF0" w:rsidR="0091425E" w:rsidRPr="00D91AB2" w:rsidRDefault="0091425E" w:rsidP="007F36A6">
            <w:pPr>
              <w:ind w:firstLine="708"/>
              <w:jc w:val="both"/>
              <w:rPr>
                <w:rFonts w:ascii="Times New Roman" w:hAnsi="Times New Roman" w:cs="Times New Roman"/>
              </w:rPr>
            </w:pPr>
            <w:r w:rsidRPr="00D91AB2">
              <w:rPr>
                <w:rFonts w:ascii="Times New Roman" w:hAnsi="Times New Roman" w:cs="Times New Roman"/>
              </w:rPr>
              <w:t>O eminente, Eros Roberto Grau</w:t>
            </w:r>
            <w:r w:rsidRPr="00D91AB2">
              <w:rPr>
                <w:rStyle w:val="Refdenotaderodap"/>
                <w:rFonts w:ascii="Times New Roman" w:hAnsi="Times New Roman" w:cs="Times New Roman"/>
              </w:rPr>
              <w:footnoteReference w:id="4"/>
            </w:r>
            <w:r w:rsidRPr="00D91AB2">
              <w:rPr>
                <w:rFonts w:ascii="Times New Roman" w:hAnsi="Times New Roman" w:cs="Times New Roman"/>
              </w:rPr>
              <w:t>, pontua:</w:t>
            </w:r>
          </w:p>
          <w:p w14:paraId="3377A5A5" w14:textId="406DE140" w:rsidR="0091425E" w:rsidRPr="00D91AB2" w:rsidRDefault="0091425E" w:rsidP="007F36A6">
            <w:pPr>
              <w:ind w:left="2268"/>
              <w:jc w:val="both"/>
              <w:rPr>
                <w:rFonts w:ascii="Times New Roman" w:hAnsi="Times New Roman" w:cs="Times New Roman"/>
              </w:rPr>
            </w:pPr>
            <w:r w:rsidRPr="00D91AB2">
              <w:rPr>
                <w:rFonts w:ascii="Times New Roman" w:hAnsi="Times New Roman" w:cs="Times New Roman"/>
              </w:rPr>
              <w:t xml:space="preserve">Singulares são porque </w:t>
            </w:r>
            <w:r w:rsidRPr="00D91AB2">
              <w:rPr>
                <w:rFonts w:ascii="Times New Roman" w:hAnsi="Times New Roman" w:cs="Times New Roman"/>
                <w:b/>
                <w:bCs/>
              </w:rPr>
              <w:t>apenas podem ser prestados, de certa maneira e com determinado grau de confiabilidade, por um determinado profissional ou empresa [...].</w:t>
            </w:r>
            <w:r w:rsidRPr="00D91AB2">
              <w:rPr>
                <w:rFonts w:ascii="Times New Roman" w:hAnsi="Times New Roman" w:cs="Times New Roman"/>
              </w:rPr>
              <w:t xml:space="preserve"> </w:t>
            </w:r>
            <w:r w:rsidRPr="00D91AB2">
              <w:rPr>
                <w:rFonts w:ascii="Times New Roman" w:hAnsi="Times New Roman" w:cs="Times New Roman"/>
                <w:b/>
                <w:bCs/>
              </w:rPr>
              <w:t>Ser singular o serviço, isso não significa seja ele necessariamente o único.</w:t>
            </w:r>
            <w:r w:rsidRPr="00D91AB2">
              <w:rPr>
                <w:rFonts w:ascii="Times New Roman" w:hAnsi="Times New Roman" w:cs="Times New Roman"/>
              </w:rPr>
              <w:t xml:space="preserve"> Outros podem realizá-lo, embora não o possam realizar do mesmo modo e com o mesmo estilo de um determinado profissional ou de uma determinada empresa.</w:t>
            </w:r>
          </w:p>
          <w:p w14:paraId="101A695C" w14:textId="77777777" w:rsidR="0091425E" w:rsidRPr="00D91AB2" w:rsidRDefault="0091425E" w:rsidP="0091425E">
            <w:pPr>
              <w:jc w:val="both"/>
              <w:rPr>
                <w:rFonts w:ascii="Times New Roman" w:hAnsi="Times New Roman" w:cs="Times New Roman"/>
              </w:rPr>
            </w:pPr>
            <w:r w:rsidRPr="00D91AB2">
              <w:rPr>
                <w:rFonts w:ascii="Times New Roman" w:hAnsi="Times New Roman" w:cs="Times New Roman"/>
              </w:rPr>
              <w:tab/>
              <w:t>Com isso, é possível concluir que a hipótese prevista no inc. III do artigo 74 da Lei 14.133/2021, não depende da exclusividade do contratado, sendo cabível ainda que várias empresas tenham as condições necessárias para executar o contrato.</w:t>
            </w:r>
          </w:p>
          <w:p w14:paraId="6048ADA9" w14:textId="77777777" w:rsidR="0091425E" w:rsidRPr="00D91AB2" w:rsidRDefault="0091425E" w:rsidP="0091425E">
            <w:pPr>
              <w:jc w:val="both"/>
              <w:rPr>
                <w:rFonts w:ascii="Times New Roman" w:hAnsi="Times New Roman" w:cs="Times New Roman"/>
              </w:rPr>
            </w:pPr>
            <w:r w:rsidRPr="00D91AB2">
              <w:rPr>
                <w:rFonts w:ascii="Times New Roman" w:hAnsi="Times New Roman" w:cs="Times New Roman"/>
              </w:rPr>
              <w:tab/>
              <w:t>Analisado esse ponto bastante polêmico, passo a análise dos demais aspectos importantes da fundamentação.</w:t>
            </w:r>
          </w:p>
          <w:p w14:paraId="5F3B11EC" w14:textId="77777777" w:rsidR="0091425E" w:rsidRPr="00D91AB2" w:rsidRDefault="0091425E" w:rsidP="0091425E">
            <w:pPr>
              <w:jc w:val="both"/>
              <w:rPr>
                <w:rFonts w:ascii="Times New Roman" w:hAnsi="Times New Roman" w:cs="Times New Roman"/>
              </w:rPr>
            </w:pPr>
            <w:r w:rsidRPr="00D91AB2">
              <w:rPr>
                <w:rFonts w:ascii="Times New Roman" w:hAnsi="Times New Roman" w:cs="Times New Roman"/>
              </w:rPr>
              <w:tab/>
              <w:t xml:space="preserve">Quanto ao requisito da notória especialização, a própria Lei 14.133/2021 nos traz o conceito: </w:t>
            </w:r>
          </w:p>
          <w:p w14:paraId="2E8CA71E" w14:textId="77777777" w:rsidR="0091425E" w:rsidRPr="00D91AB2" w:rsidRDefault="0091425E" w:rsidP="0091425E">
            <w:pPr>
              <w:ind w:left="2268"/>
              <w:jc w:val="both"/>
              <w:rPr>
                <w:rFonts w:ascii="Times New Roman" w:hAnsi="Times New Roman" w:cs="Times New Roman"/>
              </w:rPr>
            </w:pPr>
            <w:r w:rsidRPr="00D91AB2">
              <w:rPr>
                <w:rFonts w:ascii="Times New Roman" w:hAnsi="Times New Roman" w:cs="Times New Roman"/>
              </w:rPr>
              <w:t>Art. 74. [...]</w:t>
            </w:r>
          </w:p>
          <w:p w14:paraId="64F3F9D8" w14:textId="77777777" w:rsidR="0091425E" w:rsidRPr="00D91AB2" w:rsidRDefault="0091425E" w:rsidP="0091425E">
            <w:pPr>
              <w:ind w:left="2268"/>
              <w:jc w:val="both"/>
              <w:rPr>
                <w:rFonts w:ascii="Times New Roman" w:hAnsi="Times New Roman" w:cs="Times New Roman"/>
              </w:rPr>
            </w:pPr>
            <w:r w:rsidRPr="00D91AB2">
              <w:rPr>
                <w:rFonts w:ascii="Times New Roman" w:hAnsi="Times New Roman" w:cs="Times New Roman"/>
              </w:rPr>
              <w:t>§ 3º Para fins do disposto no inciso III do caput deste artigo, considera-se de notória especialização o profissional ou a empresa cujo conceito no campo de sua especialidade, decorrente de desempenho anterior, estudos, experiência, publicações, organização, aparelhamento, equipe técnica ou outros requisitos relacionados com suas atividades, permita inferir que o seu trabalho é essencial e reconhecidamente adequado à plena satisfação do objeto do contrato.</w:t>
            </w:r>
          </w:p>
          <w:p w14:paraId="5EE26BB3" w14:textId="77777777" w:rsidR="0091425E" w:rsidRPr="00D91AB2" w:rsidRDefault="0091425E" w:rsidP="0091425E">
            <w:pPr>
              <w:jc w:val="both"/>
              <w:rPr>
                <w:rFonts w:ascii="Times New Roman" w:hAnsi="Times New Roman" w:cs="Times New Roman"/>
                <w:b/>
                <w:bCs/>
              </w:rPr>
            </w:pPr>
            <w:r w:rsidRPr="00D91AB2">
              <w:rPr>
                <w:rFonts w:ascii="Times New Roman" w:hAnsi="Times New Roman" w:cs="Times New Roman"/>
              </w:rPr>
              <w:tab/>
              <w:t>Ou seja, a notória especialização demanda obviamente de especialização, que pode ser entendida segundo Marçal</w:t>
            </w:r>
            <w:r w:rsidRPr="00D91AB2">
              <w:rPr>
                <w:rStyle w:val="Refdenotaderodap"/>
                <w:rFonts w:ascii="Times New Roman" w:hAnsi="Times New Roman" w:cs="Times New Roman"/>
              </w:rPr>
              <w:footnoteReference w:id="5"/>
            </w:r>
            <w:r w:rsidRPr="00D91AB2">
              <w:rPr>
                <w:rFonts w:ascii="Times New Roman" w:hAnsi="Times New Roman" w:cs="Times New Roman"/>
              </w:rPr>
              <w:t xml:space="preserve">, como “na titularidade objetiva de requisitos que distinguem o sujeito, atribuindo-lhe </w:t>
            </w:r>
            <w:r w:rsidRPr="00D91AB2">
              <w:rPr>
                <w:rFonts w:ascii="Times New Roman" w:hAnsi="Times New Roman" w:cs="Times New Roman"/>
                <w:b/>
                <w:bCs/>
              </w:rPr>
              <w:t>maior habilitação do que normalmente existe no âmbito dos profissionais que exercem a atividade”.</w:t>
            </w:r>
          </w:p>
          <w:p w14:paraId="2F4A9B9A" w14:textId="77777777" w:rsidR="0091425E" w:rsidRPr="00D91AB2" w:rsidRDefault="0091425E" w:rsidP="0091425E">
            <w:pPr>
              <w:jc w:val="both"/>
              <w:rPr>
                <w:rFonts w:ascii="Times New Roman" w:hAnsi="Times New Roman" w:cs="Times New Roman"/>
              </w:rPr>
            </w:pPr>
            <w:r w:rsidRPr="00D91AB2">
              <w:rPr>
                <w:rFonts w:ascii="Times New Roman" w:hAnsi="Times New Roman" w:cs="Times New Roman"/>
              </w:rPr>
              <w:tab/>
              <w:t>E essa especialização pode ser comprovada através de titulações, serviços similares exitosos realizados anteriormente, premiações, etc.</w:t>
            </w:r>
          </w:p>
          <w:p w14:paraId="5C403A29" w14:textId="77777777" w:rsidR="0091425E" w:rsidRPr="00D91AB2" w:rsidRDefault="0091425E" w:rsidP="0091425E">
            <w:pPr>
              <w:jc w:val="both"/>
              <w:rPr>
                <w:rFonts w:ascii="Times New Roman" w:hAnsi="Times New Roman" w:cs="Times New Roman"/>
              </w:rPr>
            </w:pPr>
            <w:r w:rsidRPr="00D91AB2">
              <w:rPr>
                <w:rFonts w:ascii="Times New Roman" w:hAnsi="Times New Roman" w:cs="Times New Roman"/>
              </w:rPr>
              <w:tab/>
              <w:t>Soma-se ainda a isso, a notoriedade, que é justamente o reconhecimento do profissional ou empresa no ramo, diante de sua qualificação, é a reputação por parte da própria comunidade profissional.</w:t>
            </w:r>
          </w:p>
          <w:p w14:paraId="27042138" w14:textId="77777777" w:rsidR="0091425E" w:rsidRPr="00D91AB2" w:rsidRDefault="0091425E" w:rsidP="0091425E">
            <w:pPr>
              <w:jc w:val="both"/>
              <w:rPr>
                <w:rFonts w:ascii="Times New Roman" w:hAnsi="Times New Roman" w:cs="Times New Roman"/>
              </w:rPr>
            </w:pPr>
            <w:r w:rsidRPr="00D91AB2">
              <w:rPr>
                <w:rFonts w:ascii="Times New Roman" w:hAnsi="Times New Roman" w:cs="Times New Roman"/>
              </w:rPr>
              <w:tab/>
              <w:t>Por fim, pode-se concluir que o serviço técnico especializado, precede da junção de um serviço técnico, em que é necessário a aplicação de conhecimento teórico, que vai atingir determinado fim no mundo, sendo que deve ser especializado, ou seja, uma atividade em que é necessário a aplicação de conhecimento teórico, que demanda habilidades que não são comuns, ou realizados por pessoa ou até mesmo profissional “comum” da área.</w:t>
            </w:r>
          </w:p>
          <w:p w14:paraId="6D478B5D" w14:textId="52673C06" w:rsidR="00E919A5" w:rsidRPr="00D91AB2" w:rsidRDefault="0091425E" w:rsidP="007F36A6">
            <w:pPr>
              <w:ind w:firstLine="708"/>
              <w:jc w:val="both"/>
              <w:rPr>
                <w:rFonts w:ascii="Times New Roman" w:hAnsi="Times New Roman" w:cs="Times New Roman"/>
              </w:rPr>
            </w:pPr>
            <w:r w:rsidRPr="00D91AB2">
              <w:rPr>
                <w:rFonts w:ascii="Times New Roman" w:eastAsia="Times New Roman" w:hAnsi="Times New Roman" w:cs="Times New Roman"/>
                <w:bCs/>
              </w:rPr>
              <w:lastRenderedPageBreak/>
              <w:t xml:space="preserve">Além do mais, </w:t>
            </w:r>
            <w:bookmarkStart w:id="3" w:name="_Hlk159312041"/>
            <w:r w:rsidRPr="00D91AB2">
              <w:rPr>
                <w:rFonts w:ascii="Times New Roman" w:eastAsia="Times New Roman" w:hAnsi="Times New Roman" w:cs="Times New Roman"/>
                <w:bCs/>
              </w:rPr>
              <w:t xml:space="preserve">como forma de comprovação, será anexado ao procedimento </w:t>
            </w:r>
            <w:bookmarkEnd w:id="3"/>
            <w:r w:rsidRPr="00D91AB2">
              <w:rPr>
                <w:rFonts w:ascii="Times New Roman" w:eastAsia="Times New Roman" w:hAnsi="Times New Roman" w:cs="Times New Roman"/>
                <w:bCs/>
              </w:rPr>
              <w:t>documentos que comprovam a capacidade da empresa em prestar os serviços, por meio de certificados e atestados de capacidade técnica.</w:t>
            </w:r>
          </w:p>
        </w:tc>
      </w:tr>
      <w:tr w:rsidR="00BF3919" w:rsidRPr="00D91AB2" w14:paraId="36B411E8" w14:textId="77777777" w:rsidTr="009503E3">
        <w:trPr>
          <w:trHeight w:val="1734"/>
        </w:trPr>
        <w:tc>
          <w:tcPr>
            <w:tcW w:w="9356" w:type="dxa"/>
            <w:shd w:val="clear" w:color="auto" w:fill="auto"/>
          </w:tcPr>
          <w:p w14:paraId="46C6AE2F" w14:textId="447A16D7" w:rsidR="00BF3919" w:rsidRPr="00D91AB2" w:rsidRDefault="00E919A5" w:rsidP="00D206AB">
            <w:pPr>
              <w:jc w:val="both"/>
              <w:rPr>
                <w:rFonts w:ascii="Times New Roman" w:hAnsi="Times New Roman" w:cs="Times New Roman"/>
                <w:b/>
                <w:bCs/>
              </w:rPr>
            </w:pPr>
            <w:r w:rsidRPr="00D91AB2">
              <w:rPr>
                <w:rFonts w:ascii="Times New Roman" w:hAnsi="Times New Roman" w:cs="Times New Roman"/>
                <w:b/>
                <w:bCs/>
              </w:rPr>
              <w:lastRenderedPageBreak/>
              <w:t>1</w:t>
            </w:r>
            <w:r w:rsidR="004C0874" w:rsidRPr="00D91AB2">
              <w:rPr>
                <w:rFonts w:ascii="Times New Roman" w:hAnsi="Times New Roman" w:cs="Times New Roman"/>
                <w:b/>
                <w:bCs/>
              </w:rPr>
              <w:t>2</w:t>
            </w:r>
            <w:r w:rsidR="00103033" w:rsidRPr="00D91AB2">
              <w:rPr>
                <w:rFonts w:ascii="Times New Roman" w:hAnsi="Times New Roman" w:cs="Times New Roman"/>
                <w:b/>
                <w:bCs/>
              </w:rPr>
              <w:t>.</w:t>
            </w:r>
            <w:r w:rsidRPr="00D91AB2">
              <w:rPr>
                <w:rFonts w:ascii="Times New Roman" w:hAnsi="Times New Roman" w:cs="Times New Roman"/>
                <w:b/>
                <w:bCs/>
              </w:rPr>
              <w:t xml:space="preserve"> </w:t>
            </w:r>
            <w:r w:rsidR="00BF3919" w:rsidRPr="00D91AB2">
              <w:rPr>
                <w:rFonts w:ascii="Times New Roman" w:hAnsi="Times New Roman" w:cs="Times New Roman"/>
                <w:b/>
                <w:bCs/>
              </w:rPr>
              <w:t xml:space="preserve">RECURSOS ORÇAMENTÁRIOS. </w:t>
            </w:r>
          </w:p>
          <w:p w14:paraId="67ABEF0A" w14:textId="162EC9E8" w:rsidR="00BF3919" w:rsidRPr="00D91AB2" w:rsidRDefault="00BF3919" w:rsidP="00D206AB">
            <w:pPr>
              <w:jc w:val="both"/>
              <w:rPr>
                <w:rFonts w:ascii="Times New Roman" w:hAnsi="Times New Roman" w:cs="Times New Roman"/>
              </w:rPr>
            </w:pPr>
            <w:r w:rsidRPr="00D91AB2">
              <w:rPr>
                <w:rFonts w:ascii="Times New Roman" w:hAnsi="Times New Roman" w:cs="Times New Roman"/>
              </w:rPr>
              <w:t>As despesas provenientes da contratação do objeto do presente Termo correrão por conta da seguinte dotação orçamentária do exercício de 202</w:t>
            </w:r>
            <w:r w:rsidR="00276BA9" w:rsidRPr="00D91AB2">
              <w:rPr>
                <w:rFonts w:ascii="Times New Roman" w:hAnsi="Times New Roman" w:cs="Times New Roman"/>
              </w:rPr>
              <w:t>5</w:t>
            </w:r>
            <w:r w:rsidRPr="00D91AB2">
              <w:rPr>
                <w:rFonts w:ascii="Times New Roman" w:hAnsi="Times New Roman" w:cs="Times New Roman"/>
              </w:rPr>
              <w:t>:</w:t>
            </w:r>
          </w:p>
          <w:p w14:paraId="344979A4" w14:textId="77777777" w:rsidR="00FB6F6C" w:rsidRPr="00D91AB2" w:rsidRDefault="00FB6F6C" w:rsidP="00FB6F6C">
            <w:pPr>
              <w:jc w:val="both"/>
              <w:rPr>
                <w:rFonts w:ascii="Times New Roman" w:hAnsi="Times New Roman" w:cs="Times New Roman"/>
              </w:rPr>
            </w:pPr>
            <w:r w:rsidRPr="00D91AB2">
              <w:rPr>
                <w:rFonts w:ascii="Times New Roman" w:hAnsi="Times New Roman" w:cs="Times New Roman"/>
              </w:rPr>
              <w:t>PROJETO ATIVIDADE 2005 – MANUTENÇÃO DAS ATIVIDADES DA ADMINISTRAÇÃO GERAL</w:t>
            </w:r>
          </w:p>
          <w:p w14:paraId="01CC6B43" w14:textId="77777777" w:rsidR="00FB6F6C" w:rsidRPr="00D91AB2" w:rsidRDefault="00FB6F6C" w:rsidP="00FB6F6C">
            <w:pPr>
              <w:jc w:val="both"/>
              <w:rPr>
                <w:rFonts w:ascii="Times New Roman" w:eastAsia="Times New Roman" w:hAnsi="Times New Roman" w:cs="Times New Roman"/>
                <w:b/>
              </w:rPr>
            </w:pPr>
            <w:r w:rsidRPr="00D91AB2">
              <w:rPr>
                <w:rFonts w:ascii="Times New Roman" w:hAnsi="Times New Roman" w:cs="Times New Roman"/>
              </w:rPr>
              <w:t>17 – 3.3.90.00.00.00.00.00 – APLICAÇÕES DIRETAS</w:t>
            </w:r>
          </w:p>
          <w:p w14:paraId="62B43723" w14:textId="1A3BA549" w:rsidR="00BF3919" w:rsidRPr="00D91AB2" w:rsidRDefault="00FB6F6C" w:rsidP="00FB6F6C">
            <w:pPr>
              <w:jc w:val="both"/>
              <w:rPr>
                <w:rFonts w:ascii="Times New Roman" w:hAnsi="Times New Roman" w:cs="Times New Roman"/>
              </w:rPr>
            </w:pPr>
            <w:r w:rsidRPr="00D91AB2">
              <w:rPr>
                <w:rFonts w:ascii="Times New Roman" w:hAnsi="Times New Roman" w:cs="Times New Roman"/>
              </w:rPr>
              <w:t>1.500.7000.0500 – RECURSOS NÃO VINCULADOS DE IMPOSTOS</w:t>
            </w:r>
          </w:p>
        </w:tc>
      </w:tr>
      <w:bookmarkEnd w:id="0"/>
      <w:tr w:rsidR="003D6554" w:rsidRPr="00D91AB2" w14:paraId="19C4CA27" w14:textId="77777777" w:rsidTr="00FC2559">
        <w:trPr>
          <w:trHeight w:val="755"/>
        </w:trPr>
        <w:tc>
          <w:tcPr>
            <w:tcW w:w="9356" w:type="dxa"/>
            <w:shd w:val="clear" w:color="auto" w:fill="auto"/>
          </w:tcPr>
          <w:p w14:paraId="4AED8667" w14:textId="77777777" w:rsidR="003D6554" w:rsidRPr="00D91AB2" w:rsidRDefault="003D6554" w:rsidP="003D6554">
            <w:pPr>
              <w:jc w:val="both"/>
              <w:rPr>
                <w:rFonts w:ascii="Times New Roman" w:eastAsia="Times New Roman" w:hAnsi="Times New Roman" w:cs="Times New Roman"/>
                <w:b/>
              </w:rPr>
            </w:pPr>
            <w:r w:rsidRPr="00D91AB2">
              <w:rPr>
                <w:rFonts w:ascii="Times New Roman" w:eastAsia="Times New Roman" w:hAnsi="Times New Roman" w:cs="Times New Roman"/>
                <w:b/>
              </w:rPr>
              <w:t xml:space="preserve">13. Vigência </w:t>
            </w:r>
          </w:p>
          <w:p w14:paraId="4D7EEFDD" w14:textId="1549FEFA" w:rsidR="003D6554" w:rsidRPr="00D91AB2" w:rsidRDefault="003D6554" w:rsidP="00FC2559">
            <w:pPr>
              <w:jc w:val="both"/>
              <w:rPr>
                <w:rFonts w:ascii="Times New Roman" w:hAnsi="Times New Roman" w:cs="Times New Roman"/>
                <w:b/>
                <w:bCs/>
              </w:rPr>
            </w:pPr>
            <w:r w:rsidRPr="00D91AB2">
              <w:rPr>
                <w:rFonts w:ascii="Times New Roman" w:eastAsia="Times New Roman" w:hAnsi="Times New Roman" w:cs="Times New Roman"/>
                <w:color w:val="000000"/>
              </w:rPr>
              <w:t xml:space="preserve">O prazo de </w:t>
            </w:r>
            <w:r w:rsidRPr="00D91AB2">
              <w:rPr>
                <w:rFonts w:ascii="Times New Roman" w:eastAsia="Times New Roman" w:hAnsi="Times New Roman" w:cs="Times New Roman"/>
              </w:rPr>
              <w:t>vigência do contrato será de 12 (doze) meses, podendo ser prorrogado por iguais e sucessivos períodos, conforme Lei.</w:t>
            </w:r>
          </w:p>
        </w:tc>
      </w:tr>
      <w:tr w:rsidR="003D6554" w:rsidRPr="00D91AB2" w14:paraId="4564F999" w14:textId="77777777" w:rsidTr="0078435C">
        <w:trPr>
          <w:trHeight w:val="53"/>
        </w:trPr>
        <w:tc>
          <w:tcPr>
            <w:tcW w:w="9356" w:type="dxa"/>
            <w:shd w:val="clear" w:color="auto" w:fill="auto"/>
          </w:tcPr>
          <w:p w14:paraId="4B326F95" w14:textId="77777777" w:rsidR="003D6554" w:rsidRPr="00272463" w:rsidRDefault="003D6554" w:rsidP="003D6554">
            <w:pPr>
              <w:jc w:val="both"/>
              <w:rPr>
                <w:rFonts w:ascii="Times New Roman" w:eastAsia="Times New Roman" w:hAnsi="Times New Roman" w:cs="Times New Roman"/>
                <w:b/>
              </w:rPr>
            </w:pPr>
            <w:r w:rsidRPr="00272463">
              <w:rPr>
                <w:rFonts w:ascii="Times New Roman" w:eastAsia="Times New Roman" w:hAnsi="Times New Roman" w:cs="Times New Roman"/>
                <w:b/>
              </w:rPr>
              <w:t xml:space="preserve">14. Critérios de pagamento </w:t>
            </w:r>
          </w:p>
          <w:p w14:paraId="68EF96B2" w14:textId="77777777" w:rsidR="003D6554" w:rsidRPr="00272463" w:rsidRDefault="003D6554" w:rsidP="003D6554">
            <w:pPr>
              <w:jc w:val="both"/>
              <w:rPr>
                <w:rFonts w:ascii="Times New Roman" w:eastAsia="Times New Roman" w:hAnsi="Times New Roman" w:cs="Times New Roman"/>
              </w:rPr>
            </w:pPr>
            <w:r w:rsidRPr="00272463">
              <w:rPr>
                <w:rFonts w:ascii="Times New Roman" w:eastAsia="Times New Roman" w:hAnsi="Times New Roman" w:cs="Times New Roman"/>
              </w:rPr>
              <w:t xml:space="preserve">O contratante realizará o pagamento em até 30 (trinta) dias contados da apresentação do documento fiscal/fatura correspondente. </w:t>
            </w:r>
          </w:p>
          <w:p w14:paraId="4A751643" w14:textId="77777777" w:rsidR="003D6554" w:rsidRPr="00272463" w:rsidRDefault="003D6554" w:rsidP="003D6554">
            <w:pPr>
              <w:jc w:val="both"/>
              <w:rPr>
                <w:rFonts w:ascii="Times New Roman" w:eastAsia="Times New Roman" w:hAnsi="Times New Roman" w:cs="Times New Roman"/>
              </w:rPr>
            </w:pPr>
            <w:r w:rsidRPr="00272463">
              <w:rPr>
                <w:rFonts w:ascii="Times New Roman" w:eastAsia="Times New Roman" w:hAnsi="Times New Roman" w:cs="Times New Roman"/>
              </w:rPr>
              <w:t xml:space="preserve">O pagamento será realizado por meio de pagamento de fatura em favor da contratada. </w:t>
            </w:r>
          </w:p>
          <w:p w14:paraId="08E3DBE3" w14:textId="77777777" w:rsidR="003D6554" w:rsidRPr="00272463" w:rsidRDefault="003D6554" w:rsidP="003D6554">
            <w:pPr>
              <w:jc w:val="both"/>
              <w:rPr>
                <w:rFonts w:ascii="Times New Roman" w:eastAsia="Times New Roman" w:hAnsi="Times New Roman" w:cs="Times New Roman"/>
              </w:rPr>
            </w:pPr>
            <w:r w:rsidRPr="00272463">
              <w:rPr>
                <w:rFonts w:ascii="Times New Roman" w:eastAsia="Times New Roman" w:hAnsi="Times New Roman" w:cs="Times New Roman"/>
              </w:rPr>
              <w:t xml:space="preserve">A nota fiscal/fatura será emitida pela contratada após o recebimento definitivo dos bens e em inteira conformidade com as exigências legais, especialmente as de natureza fiscal, acrescida, sempre que possível, das seguintes informações: </w:t>
            </w:r>
          </w:p>
          <w:p w14:paraId="28775B3F" w14:textId="77777777" w:rsidR="003D6554" w:rsidRPr="00272463" w:rsidRDefault="003D6554" w:rsidP="003D6554">
            <w:pPr>
              <w:jc w:val="both"/>
              <w:rPr>
                <w:rFonts w:ascii="Times New Roman" w:eastAsia="Times New Roman" w:hAnsi="Times New Roman" w:cs="Times New Roman"/>
              </w:rPr>
            </w:pPr>
            <w:r w:rsidRPr="00272463">
              <w:rPr>
                <w:rFonts w:ascii="Times New Roman" w:eastAsia="Times New Roman" w:hAnsi="Times New Roman" w:cs="Times New Roman"/>
              </w:rPr>
              <w:t xml:space="preserve">a) indicação do número do contrato; </w:t>
            </w:r>
          </w:p>
          <w:p w14:paraId="05F45A2E" w14:textId="77777777" w:rsidR="003D6554" w:rsidRPr="00272463" w:rsidRDefault="003D6554" w:rsidP="003D6554">
            <w:pPr>
              <w:jc w:val="both"/>
              <w:rPr>
                <w:rFonts w:ascii="Times New Roman" w:eastAsia="Times New Roman" w:hAnsi="Times New Roman" w:cs="Times New Roman"/>
              </w:rPr>
            </w:pPr>
            <w:r w:rsidRPr="00272463">
              <w:rPr>
                <w:rFonts w:ascii="Times New Roman" w:eastAsia="Times New Roman" w:hAnsi="Times New Roman" w:cs="Times New Roman"/>
              </w:rPr>
              <w:t xml:space="preserve">b) indicação do objeto do contrato; </w:t>
            </w:r>
          </w:p>
          <w:p w14:paraId="0A344578" w14:textId="77777777" w:rsidR="003D6554" w:rsidRPr="00272463" w:rsidRDefault="003D6554" w:rsidP="003D6554">
            <w:pPr>
              <w:jc w:val="both"/>
              <w:rPr>
                <w:rFonts w:ascii="Times New Roman" w:eastAsia="Times New Roman" w:hAnsi="Times New Roman" w:cs="Times New Roman"/>
              </w:rPr>
            </w:pPr>
            <w:r w:rsidRPr="00272463">
              <w:rPr>
                <w:rFonts w:ascii="Times New Roman" w:eastAsia="Times New Roman" w:hAnsi="Times New Roman" w:cs="Times New Roman"/>
              </w:rPr>
              <w:t xml:space="preserve">c) destaque, conforme regulação específica, das retenções incidentes sobre o faturamento, (ISS, INSS, IRRF e outros), se houver; </w:t>
            </w:r>
          </w:p>
          <w:p w14:paraId="1259CD43" w14:textId="77777777" w:rsidR="003D6554" w:rsidRPr="00272463" w:rsidRDefault="003D6554" w:rsidP="003D6554">
            <w:pPr>
              <w:jc w:val="both"/>
              <w:rPr>
                <w:rFonts w:ascii="Times New Roman" w:eastAsia="Times New Roman" w:hAnsi="Times New Roman" w:cs="Times New Roman"/>
              </w:rPr>
            </w:pPr>
            <w:r w:rsidRPr="00272463">
              <w:rPr>
                <w:rFonts w:ascii="Times New Roman" w:eastAsia="Times New Roman" w:hAnsi="Times New Roman" w:cs="Times New Roman"/>
              </w:rPr>
              <w:t>d) conta bancária, conforme indicado pela contratada na nota fiscal. A nota fiscal/fatura deverá ser emitida com o Imposto de Renda retido na fonte, conforme tabela de retenção constante no Anexo I da Instrução Normativa da Receita Federal do Brasil nº 1.234 de 2012 e suas alterações posteriores. Cabe à contratada o destaque deste imposto no corpo das notas fiscais.</w:t>
            </w:r>
          </w:p>
          <w:p w14:paraId="748FA2C9" w14:textId="1A242D74" w:rsidR="003D6554" w:rsidRPr="00272463" w:rsidRDefault="003D6554" w:rsidP="003D6554">
            <w:pPr>
              <w:jc w:val="both"/>
              <w:rPr>
                <w:rFonts w:ascii="Times New Roman" w:hAnsi="Times New Roman" w:cs="Times New Roman"/>
                <w:b/>
                <w:bCs/>
              </w:rPr>
            </w:pPr>
            <w:r w:rsidRPr="00272463">
              <w:rPr>
                <w:rFonts w:ascii="Times New Roman" w:eastAsia="Times New Roman" w:hAnsi="Times New Roman" w:cs="Times New Roman"/>
              </w:rPr>
              <w:t>As pessoas jurídicas amparadas por isenção, não incidência ou alíquota zero devem informar essa condição no documento fiscal, inclusive o enquadramento legal, sob pena de, se não o fizerem, sujeitarem-se à retenção do IR e das contribuições sobre o valor total do documento fiscal, no percentual total correspondente à natureza do bem ou serviço. Havendo erro no documento de cobrança ou outra circunstância que impeça a liquidação da despesa, esta ficará com o pagamento pendente até que a contratada providencie as medidas saneadoras necessárias, não ocorrendo, neste caso, qualquer ônus à contratante.</w:t>
            </w:r>
          </w:p>
        </w:tc>
      </w:tr>
      <w:tr w:rsidR="003D6554" w:rsidRPr="00D91AB2" w14:paraId="3B195B43" w14:textId="77777777" w:rsidTr="00D4693B">
        <w:trPr>
          <w:trHeight w:val="991"/>
        </w:trPr>
        <w:tc>
          <w:tcPr>
            <w:tcW w:w="9356" w:type="dxa"/>
            <w:shd w:val="clear" w:color="auto" w:fill="auto"/>
          </w:tcPr>
          <w:p w14:paraId="0B5ED042" w14:textId="39A12D40" w:rsidR="003D6554" w:rsidRPr="00272463" w:rsidRDefault="003D6554" w:rsidP="003D6554">
            <w:pPr>
              <w:jc w:val="center"/>
              <w:rPr>
                <w:rFonts w:ascii="Times New Roman" w:hAnsi="Times New Roman" w:cs="Times New Roman"/>
                <w:b/>
              </w:rPr>
            </w:pPr>
            <w:r w:rsidRPr="00272463">
              <w:rPr>
                <w:rFonts w:ascii="Times New Roman" w:hAnsi="Times New Roman" w:cs="Times New Roman"/>
                <w:b/>
              </w:rPr>
              <w:t xml:space="preserve">Município de Palmitos SC, </w:t>
            </w:r>
            <w:r w:rsidR="00272463" w:rsidRPr="00272463">
              <w:rPr>
                <w:rFonts w:ascii="Times New Roman" w:hAnsi="Times New Roman" w:cs="Times New Roman"/>
                <w:b/>
              </w:rPr>
              <w:t>05</w:t>
            </w:r>
            <w:r w:rsidRPr="00272463">
              <w:rPr>
                <w:rFonts w:ascii="Times New Roman" w:hAnsi="Times New Roman" w:cs="Times New Roman"/>
                <w:b/>
              </w:rPr>
              <w:t xml:space="preserve"> de </w:t>
            </w:r>
            <w:r w:rsidR="00272463" w:rsidRPr="00272463">
              <w:rPr>
                <w:rFonts w:ascii="Times New Roman" w:hAnsi="Times New Roman" w:cs="Times New Roman"/>
                <w:b/>
              </w:rPr>
              <w:t>fevereiro</w:t>
            </w:r>
            <w:r w:rsidRPr="00272463">
              <w:rPr>
                <w:rFonts w:ascii="Times New Roman" w:hAnsi="Times New Roman" w:cs="Times New Roman"/>
                <w:b/>
              </w:rPr>
              <w:t xml:space="preserve"> de 2025.</w:t>
            </w:r>
          </w:p>
          <w:p w14:paraId="67E6F405" w14:textId="77777777" w:rsidR="003D6554" w:rsidRPr="00272463" w:rsidRDefault="003D6554" w:rsidP="003D6554">
            <w:pPr>
              <w:jc w:val="center"/>
              <w:rPr>
                <w:rFonts w:ascii="Times New Roman" w:hAnsi="Times New Roman" w:cs="Times New Roman"/>
                <w:b/>
              </w:rPr>
            </w:pPr>
          </w:p>
          <w:p w14:paraId="115536B1" w14:textId="77777777" w:rsidR="003D6554" w:rsidRPr="00272463" w:rsidRDefault="003D6554" w:rsidP="003D6554">
            <w:pPr>
              <w:jc w:val="center"/>
              <w:rPr>
                <w:rFonts w:ascii="Times New Roman" w:hAnsi="Times New Roman" w:cs="Times New Roman"/>
                <w:b/>
              </w:rPr>
            </w:pPr>
          </w:p>
          <w:p w14:paraId="1ACAF1C7" w14:textId="77777777" w:rsidR="003D6554" w:rsidRPr="00272463" w:rsidRDefault="003D6554" w:rsidP="003D6554">
            <w:pPr>
              <w:jc w:val="center"/>
              <w:rPr>
                <w:rFonts w:ascii="Times New Roman" w:hAnsi="Times New Roman" w:cs="Times New Roman"/>
                <w:b/>
              </w:rPr>
            </w:pPr>
          </w:p>
          <w:p w14:paraId="19C13F9D" w14:textId="77777777" w:rsidR="003D6554" w:rsidRPr="00272463" w:rsidRDefault="003D6554" w:rsidP="003D6554">
            <w:pPr>
              <w:jc w:val="center"/>
              <w:rPr>
                <w:rFonts w:ascii="Times New Roman" w:hAnsi="Times New Roman" w:cs="Times New Roman"/>
                <w:b/>
              </w:rPr>
            </w:pPr>
          </w:p>
          <w:p w14:paraId="1B9F2E46" w14:textId="77777777" w:rsidR="003D6554" w:rsidRPr="00272463" w:rsidRDefault="003D6554" w:rsidP="003D6554">
            <w:pPr>
              <w:jc w:val="center"/>
              <w:rPr>
                <w:rFonts w:ascii="Times New Roman" w:hAnsi="Times New Roman" w:cs="Times New Roman"/>
                <w:b/>
              </w:rPr>
            </w:pPr>
          </w:p>
          <w:p w14:paraId="015ED753" w14:textId="6D37264C" w:rsidR="003D6554" w:rsidRPr="00272463" w:rsidRDefault="003D6554" w:rsidP="003D6554">
            <w:pPr>
              <w:jc w:val="center"/>
              <w:rPr>
                <w:rFonts w:ascii="Times New Roman" w:eastAsia="Calibri" w:hAnsi="Times New Roman" w:cs="Times New Roman"/>
              </w:rPr>
            </w:pPr>
            <w:r w:rsidRPr="00272463">
              <w:rPr>
                <w:rFonts w:ascii="Times New Roman" w:eastAsia="Calibri" w:hAnsi="Times New Roman" w:cs="Times New Roman"/>
              </w:rPr>
              <w:t xml:space="preserve">Andreia </w:t>
            </w:r>
            <w:proofErr w:type="spellStart"/>
            <w:r w:rsidRPr="00272463">
              <w:rPr>
                <w:rFonts w:ascii="Times New Roman" w:eastAsia="Calibri" w:hAnsi="Times New Roman" w:cs="Times New Roman"/>
              </w:rPr>
              <w:t>Fadani</w:t>
            </w:r>
            <w:proofErr w:type="spellEnd"/>
            <w:r w:rsidRPr="00272463">
              <w:rPr>
                <w:rFonts w:ascii="Times New Roman" w:eastAsia="Calibri" w:hAnsi="Times New Roman" w:cs="Times New Roman"/>
              </w:rPr>
              <w:t xml:space="preserve"> </w:t>
            </w:r>
            <w:proofErr w:type="spellStart"/>
            <w:r w:rsidRPr="00272463">
              <w:rPr>
                <w:rFonts w:ascii="Times New Roman" w:eastAsia="Calibri" w:hAnsi="Times New Roman" w:cs="Times New Roman"/>
              </w:rPr>
              <w:t>Schenatto</w:t>
            </w:r>
            <w:proofErr w:type="spellEnd"/>
          </w:p>
          <w:p w14:paraId="7D9AEA3F" w14:textId="62E9AC2C" w:rsidR="003D6554" w:rsidRPr="00272463" w:rsidRDefault="003D6554" w:rsidP="003D6554">
            <w:pPr>
              <w:jc w:val="center"/>
              <w:rPr>
                <w:rFonts w:ascii="Times New Roman" w:eastAsia="Calibri" w:hAnsi="Times New Roman" w:cs="Times New Roman"/>
              </w:rPr>
            </w:pPr>
            <w:r w:rsidRPr="00272463">
              <w:rPr>
                <w:rFonts w:ascii="Times New Roman" w:eastAsia="Calibri" w:hAnsi="Times New Roman" w:cs="Times New Roman"/>
              </w:rPr>
              <w:t>Secretaria de Administração, Finanças e Planejamento</w:t>
            </w:r>
          </w:p>
        </w:tc>
      </w:tr>
    </w:tbl>
    <w:p w14:paraId="57768BB3" w14:textId="60F8C95E" w:rsidR="00965FA9" w:rsidRPr="00D91AB2" w:rsidRDefault="00965FA9">
      <w:pPr>
        <w:rPr>
          <w:rFonts w:ascii="Times New Roman" w:hAnsi="Times New Roman" w:cs="Times New Roman"/>
          <w:b/>
        </w:rPr>
      </w:pPr>
    </w:p>
    <w:p w14:paraId="6A23C6CC" w14:textId="77777777" w:rsidR="00BF3919" w:rsidRPr="00D91AB2" w:rsidRDefault="00BF3919">
      <w:pPr>
        <w:rPr>
          <w:rFonts w:ascii="Times New Roman" w:hAnsi="Times New Roman" w:cs="Times New Roman"/>
          <w:b/>
        </w:rPr>
      </w:pPr>
    </w:p>
    <w:sectPr w:rsidR="00BF3919" w:rsidRPr="00D91AB2" w:rsidSect="00AD3259">
      <w:headerReference w:type="default" r:id="rId7"/>
      <w:footerReference w:type="default" r:id="rId8"/>
      <w:pgSz w:w="11906" w:h="16838"/>
      <w:pgMar w:top="1843" w:right="1701"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E2559" w14:textId="77777777" w:rsidR="008C339B" w:rsidRDefault="008C339B" w:rsidP="00365F95">
      <w:pPr>
        <w:spacing w:after="0" w:line="240" w:lineRule="auto"/>
      </w:pPr>
      <w:r>
        <w:separator/>
      </w:r>
    </w:p>
  </w:endnote>
  <w:endnote w:type="continuationSeparator" w:id="0">
    <w:p w14:paraId="73C747F7" w14:textId="77777777" w:rsidR="008C339B" w:rsidRDefault="008C339B" w:rsidP="00365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6"/>
      </w:rPr>
      <w:id w:val="-1413996814"/>
      <w:docPartObj>
        <w:docPartGallery w:val="Page Numbers (Bottom of Page)"/>
        <w:docPartUnique/>
      </w:docPartObj>
    </w:sdtPr>
    <w:sdtContent>
      <w:sdt>
        <w:sdtPr>
          <w:rPr>
            <w:rFonts w:ascii="Arial" w:hAnsi="Arial" w:cs="Arial"/>
            <w:sz w:val="16"/>
            <w:szCs w:val="16"/>
          </w:rPr>
          <w:id w:val="1728636285"/>
          <w:docPartObj>
            <w:docPartGallery w:val="Page Numbers (Top of Page)"/>
            <w:docPartUnique/>
          </w:docPartObj>
        </w:sdtPr>
        <w:sdtContent>
          <w:p w14:paraId="623B1ECC" w14:textId="0044251F" w:rsidR="00365F95" w:rsidRPr="00365F95" w:rsidRDefault="00365F95" w:rsidP="00365F95">
            <w:pPr>
              <w:pStyle w:val="Rodap"/>
              <w:jc w:val="center"/>
              <w:rPr>
                <w:rFonts w:ascii="Arial" w:hAnsi="Arial" w:cs="Arial"/>
                <w:sz w:val="16"/>
                <w:szCs w:val="16"/>
              </w:rPr>
            </w:pPr>
            <w:r w:rsidRPr="00957128">
              <w:rPr>
                <w:rFonts w:ascii="Times New Roman" w:hAnsi="Times New Roman" w:cs="Times New Roman"/>
                <w:sz w:val="16"/>
                <w:szCs w:val="16"/>
              </w:rPr>
              <w:t xml:space="preserve">Página </w:t>
            </w:r>
            <w:r w:rsidRPr="00957128">
              <w:rPr>
                <w:rFonts w:ascii="Times New Roman" w:hAnsi="Times New Roman" w:cs="Times New Roman"/>
                <w:b/>
                <w:bCs/>
                <w:sz w:val="16"/>
                <w:szCs w:val="16"/>
              </w:rPr>
              <w:fldChar w:fldCharType="begin"/>
            </w:r>
            <w:r w:rsidRPr="00957128">
              <w:rPr>
                <w:rFonts w:ascii="Times New Roman" w:hAnsi="Times New Roman" w:cs="Times New Roman"/>
                <w:b/>
                <w:bCs/>
                <w:sz w:val="16"/>
                <w:szCs w:val="16"/>
              </w:rPr>
              <w:instrText>PAGE</w:instrText>
            </w:r>
            <w:r w:rsidRPr="00957128">
              <w:rPr>
                <w:rFonts w:ascii="Times New Roman" w:hAnsi="Times New Roman" w:cs="Times New Roman"/>
                <w:b/>
                <w:bCs/>
                <w:sz w:val="16"/>
                <w:szCs w:val="16"/>
              </w:rPr>
              <w:fldChar w:fldCharType="separate"/>
            </w:r>
            <w:r w:rsidR="002C2EE6" w:rsidRPr="00957128">
              <w:rPr>
                <w:rFonts w:ascii="Times New Roman" w:hAnsi="Times New Roman" w:cs="Times New Roman"/>
                <w:b/>
                <w:bCs/>
                <w:noProof/>
                <w:sz w:val="16"/>
                <w:szCs w:val="16"/>
              </w:rPr>
              <w:t>1</w:t>
            </w:r>
            <w:r w:rsidRPr="00957128">
              <w:rPr>
                <w:rFonts w:ascii="Times New Roman" w:hAnsi="Times New Roman" w:cs="Times New Roman"/>
                <w:b/>
                <w:bCs/>
                <w:sz w:val="16"/>
                <w:szCs w:val="16"/>
              </w:rPr>
              <w:fldChar w:fldCharType="end"/>
            </w:r>
            <w:r w:rsidRPr="00957128">
              <w:rPr>
                <w:rFonts w:ascii="Times New Roman" w:hAnsi="Times New Roman" w:cs="Times New Roman"/>
                <w:sz w:val="16"/>
                <w:szCs w:val="16"/>
              </w:rPr>
              <w:t xml:space="preserve"> de </w:t>
            </w:r>
            <w:r w:rsidRPr="00957128">
              <w:rPr>
                <w:rFonts w:ascii="Times New Roman" w:hAnsi="Times New Roman" w:cs="Times New Roman"/>
                <w:b/>
                <w:bCs/>
                <w:sz w:val="16"/>
                <w:szCs w:val="16"/>
              </w:rPr>
              <w:fldChar w:fldCharType="begin"/>
            </w:r>
            <w:r w:rsidRPr="00957128">
              <w:rPr>
                <w:rFonts w:ascii="Times New Roman" w:hAnsi="Times New Roman" w:cs="Times New Roman"/>
                <w:b/>
                <w:bCs/>
                <w:sz w:val="16"/>
                <w:szCs w:val="16"/>
              </w:rPr>
              <w:instrText>NUMPAGES</w:instrText>
            </w:r>
            <w:r w:rsidRPr="00957128">
              <w:rPr>
                <w:rFonts w:ascii="Times New Roman" w:hAnsi="Times New Roman" w:cs="Times New Roman"/>
                <w:b/>
                <w:bCs/>
                <w:sz w:val="16"/>
                <w:szCs w:val="16"/>
              </w:rPr>
              <w:fldChar w:fldCharType="separate"/>
            </w:r>
            <w:r w:rsidR="002C2EE6" w:rsidRPr="00957128">
              <w:rPr>
                <w:rFonts w:ascii="Times New Roman" w:hAnsi="Times New Roman" w:cs="Times New Roman"/>
                <w:b/>
                <w:bCs/>
                <w:noProof/>
                <w:sz w:val="16"/>
                <w:szCs w:val="16"/>
              </w:rPr>
              <w:t>5</w:t>
            </w:r>
            <w:r w:rsidRPr="00957128">
              <w:rPr>
                <w:rFonts w:ascii="Times New Roman" w:hAnsi="Times New Roman" w:cs="Times New Roman"/>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C6564" w14:textId="77777777" w:rsidR="008C339B" w:rsidRDefault="008C339B" w:rsidP="00365F95">
      <w:pPr>
        <w:spacing w:after="0" w:line="240" w:lineRule="auto"/>
      </w:pPr>
      <w:r>
        <w:separator/>
      </w:r>
    </w:p>
  </w:footnote>
  <w:footnote w:type="continuationSeparator" w:id="0">
    <w:p w14:paraId="74F353AB" w14:textId="77777777" w:rsidR="008C339B" w:rsidRDefault="008C339B" w:rsidP="00365F95">
      <w:pPr>
        <w:spacing w:after="0" w:line="240" w:lineRule="auto"/>
      </w:pPr>
      <w:r>
        <w:continuationSeparator/>
      </w:r>
    </w:p>
  </w:footnote>
  <w:footnote w:id="1">
    <w:p w14:paraId="65277C6D" w14:textId="77777777" w:rsidR="0091425E" w:rsidRDefault="0091425E" w:rsidP="0091425E">
      <w:pPr>
        <w:pStyle w:val="Textodenotaderodap"/>
      </w:pPr>
      <w:r>
        <w:rPr>
          <w:rStyle w:val="Refdenotaderodap"/>
        </w:rPr>
        <w:footnoteRef/>
      </w:r>
      <w:r>
        <w:t xml:space="preserve"> </w:t>
      </w:r>
      <w:r w:rsidRPr="00DE696D">
        <w:t xml:space="preserve">Nova Lei de Licitações e Contratos Administrativos / Joel de Menezes </w:t>
      </w:r>
      <w:proofErr w:type="spellStart"/>
      <w:r w:rsidRPr="00DE696D">
        <w:t>Niebuhr</w:t>
      </w:r>
      <w:proofErr w:type="spellEnd"/>
      <w:r w:rsidRPr="00DE696D">
        <w:t xml:space="preserve"> et al. 2. ed. Curitiba: Zênite, 2021. 1. 283p</w:t>
      </w:r>
    </w:p>
  </w:footnote>
  <w:footnote w:id="2">
    <w:p w14:paraId="36DD5BE2" w14:textId="77777777" w:rsidR="0091425E" w:rsidRPr="00B4549A" w:rsidRDefault="0091425E" w:rsidP="0091425E">
      <w:pPr>
        <w:pStyle w:val="Textodenotaderodap"/>
      </w:pPr>
      <w:r w:rsidRPr="00B4549A">
        <w:rPr>
          <w:rStyle w:val="Refdenotaderodap"/>
        </w:rPr>
        <w:footnoteRef/>
      </w:r>
      <w:r w:rsidRPr="00B4549A">
        <w:t xml:space="preserve"> TCU, Acórdão nº 2761/2020, Plenário. Rel. Min. Raimundo Carreiro. </w:t>
      </w:r>
      <w:proofErr w:type="spellStart"/>
      <w:r w:rsidRPr="00B4549A">
        <w:t>Julg</w:t>
      </w:r>
      <w:proofErr w:type="spellEnd"/>
      <w:r w:rsidRPr="00B4549A">
        <w:t>. 14/10/2020.</w:t>
      </w:r>
    </w:p>
  </w:footnote>
  <w:footnote w:id="3">
    <w:p w14:paraId="651AB15C" w14:textId="77777777" w:rsidR="0091425E" w:rsidRDefault="0091425E" w:rsidP="0091425E">
      <w:pPr>
        <w:pStyle w:val="Textodenotaderodap"/>
      </w:pPr>
      <w:r w:rsidRPr="00B4549A">
        <w:rPr>
          <w:rStyle w:val="Refdenotaderodap"/>
        </w:rPr>
        <w:footnoteRef/>
      </w:r>
      <w:r w:rsidRPr="00B4549A">
        <w:t xml:space="preserve"> Comentários à Lei de licitações e Contratos Administrativos: Lei 14.133/20211/Marçal </w:t>
      </w:r>
      <w:proofErr w:type="spellStart"/>
      <w:r w:rsidRPr="00B4549A">
        <w:t>Justen</w:t>
      </w:r>
      <w:proofErr w:type="spellEnd"/>
      <w:r w:rsidRPr="00B4549A">
        <w:t xml:space="preserve"> Filho. –São Paulo: Thomson Reuters Brasil, 2021.</w:t>
      </w:r>
      <w:r>
        <w:t xml:space="preserve"> p. 284</w:t>
      </w:r>
    </w:p>
  </w:footnote>
  <w:footnote w:id="4">
    <w:p w14:paraId="4C130278" w14:textId="77777777" w:rsidR="0091425E" w:rsidRPr="00B4549A" w:rsidRDefault="0091425E" w:rsidP="0091425E">
      <w:pPr>
        <w:pStyle w:val="Textodenotaderodap"/>
      </w:pPr>
      <w:r w:rsidRPr="00B4549A">
        <w:rPr>
          <w:rStyle w:val="Refdenotaderodap"/>
        </w:rPr>
        <w:footnoteRef/>
      </w:r>
      <w:r w:rsidRPr="00B4549A">
        <w:t xml:space="preserve"> GRAU, Eros Roberto. Inexigibilidade de licitação: serviços técnico-profissionais especializados: notória especialização. Revista de Direito Público – RDP, v. 25, n. 99, jul./set. 1991</w:t>
      </w:r>
    </w:p>
  </w:footnote>
  <w:footnote w:id="5">
    <w:p w14:paraId="10528C97" w14:textId="77777777" w:rsidR="0091425E" w:rsidRDefault="0091425E" w:rsidP="0091425E">
      <w:pPr>
        <w:pStyle w:val="Textodenotaderodap"/>
      </w:pPr>
      <w:r>
        <w:rPr>
          <w:rStyle w:val="Refdenotaderodap"/>
        </w:rPr>
        <w:footnoteRef/>
      </w:r>
      <w:r>
        <w:t xml:space="preserve"> </w:t>
      </w:r>
      <w:r w:rsidRPr="00B4549A">
        <w:t xml:space="preserve">Comentários à Lei de licitações e Contratos Administrativos: Lei 14.133/2021/Marçal </w:t>
      </w:r>
      <w:proofErr w:type="spellStart"/>
      <w:r w:rsidRPr="00B4549A">
        <w:t>Justen</w:t>
      </w:r>
      <w:proofErr w:type="spellEnd"/>
      <w:r w:rsidRPr="00B4549A">
        <w:t xml:space="preserve"> Filho. –São Paulo: Thomson Reuters Brasil, 2021.</w:t>
      </w:r>
      <w:r>
        <w:t xml:space="preserve"> p. 286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55CA8" w14:textId="77777777" w:rsidR="00365F95" w:rsidRPr="00D206AB" w:rsidRDefault="00365F95">
    <w:pPr>
      <w:pStyle w:val="Cabealho"/>
      <w:rPr>
        <w:rFonts w:ascii="Times New Roman" w:hAnsi="Times New Roman" w:cs="Times New Roman"/>
        <w:sz w:val="24"/>
        <w:szCs w:val="24"/>
      </w:rPr>
    </w:pPr>
    <w:r w:rsidRPr="00D206AB">
      <w:rPr>
        <w:rFonts w:ascii="Times New Roman" w:hAnsi="Times New Roman" w:cs="Times New Roman"/>
        <w:sz w:val="24"/>
        <w:szCs w:val="24"/>
      </w:rPr>
      <w:t>Estado de Santa Catarina</w:t>
    </w:r>
  </w:p>
  <w:p w14:paraId="3070483D" w14:textId="4FBF8B54" w:rsidR="00365F95" w:rsidRPr="00D206AB" w:rsidRDefault="00365F95">
    <w:pPr>
      <w:pStyle w:val="Cabealho"/>
      <w:rPr>
        <w:rFonts w:ascii="Times New Roman" w:hAnsi="Times New Roman" w:cs="Times New Roman"/>
        <w:b/>
        <w:sz w:val="24"/>
        <w:szCs w:val="24"/>
      </w:rPr>
    </w:pPr>
    <w:r w:rsidRPr="00D206AB">
      <w:rPr>
        <w:rFonts w:ascii="Times New Roman" w:hAnsi="Times New Roman" w:cs="Times New Roman"/>
        <w:b/>
        <w:sz w:val="24"/>
        <w:szCs w:val="24"/>
      </w:rPr>
      <w:t xml:space="preserve">MUNICÍPIO DE </w:t>
    </w:r>
    <w:r w:rsidR="0081019D" w:rsidRPr="00D206AB">
      <w:rPr>
        <w:rFonts w:ascii="Times New Roman" w:hAnsi="Times New Roman" w:cs="Times New Roman"/>
        <w:b/>
        <w:sz w:val="24"/>
        <w:szCs w:val="24"/>
      </w:rPr>
      <w:t>PALMITOS</w:t>
    </w:r>
  </w:p>
  <w:p w14:paraId="57CD052D" w14:textId="77777777" w:rsidR="00C8580D" w:rsidRPr="00C8580D" w:rsidRDefault="00C8580D">
    <w:pPr>
      <w:pStyle w:val="Cabealho"/>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016A0"/>
    <w:multiLevelType w:val="hybridMultilevel"/>
    <w:tmpl w:val="A79449F8"/>
    <w:lvl w:ilvl="0" w:tplc="FD4855E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C202D4"/>
    <w:multiLevelType w:val="hybridMultilevel"/>
    <w:tmpl w:val="6C3A52EE"/>
    <w:lvl w:ilvl="0" w:tplc="DE88BE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5C25DFD"/>
    <w:multiLevelType w:val="hybridMultilevel"/>
    <w:tmpl w:val="7A301614"/>
    <w:lvl w:ilvl="0" w:tplc="861A268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93114B5"/>
    <w:multiLevelType w:val="hybridMultilevel"/>
    <w:tmpl w:val="9686122C"/>
    <w:lvl w:ilvl="0" w:tplc="9A6A6A2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E0C7755"/>
    <w:multiLevelType w:val="hybridMultilevel"/>
    <w:tmpl w:val="A8E60ACE"/>
    <w:lvl w:ilvl="0" w:tplc="E794C38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3FD6583"/>
    <w:multiLevelType w:val="hybridMultilevel"/>
    <w:tmpl w:val="3F9EE1F2"/>
    <w:lvl w:ilvl="0" w:tplc="8B0E2862">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08F2365"/>
    <w:multiLevelType w:val="hybridMultilevel"/>
    <w:tmpl w:val="3C4ED0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73238E5"/>
    <w:multiLevelType w:val="hybridMultilevel"/>
    <w:tmpl w:val="AB88FB60"/>
    <w:lvl w:ilvl="0" w:tplc="1E72595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9A64C97"/>
    <w:multiLevelType w:val="hybridMultilevel"/>
    <w:tmpl w:val="AAE0D5C0"/>
    <w:lvl w:ilvl="0" w:tplc="BB764E1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BD25C1A"/>
    <w:multiLevelType w:val="hybridMultilevel"/>
    <w:tmpl w:val="79B0DE04"/>
    <w:lvl w:ilvl="0" w:tplc="EB2EF9F6">
      <w:start w:val="1"/>
      <w:numFmt w:val="upperRoman"/>
      <w:lvlText w:val="%1 - "/>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15:restartNumberingAfterBreak="0">
    <w:nsid w:val="5D6A62EF"/>
    <w:multiLevelType w:val="hybridMultilevel"/>
    <w:tmpl w:val="6934698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4BD7243"/>
    <w:multiLevelType w:val="hybridMultilevel"/>
    <w:tmpl w:val="6C4E697C"/>
    <w:lvl w:ilvl="0" w:tplc="3B0A5C7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D093FBB"/>
    <w:multiLevelType w:val="hybridMultilevel"/>
    <w:tmpl w:val="596CEAB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0BD5832"/>
    <w:multiLevelType w:val="hybridMultilevel"/>
    <w:tmpl w:val="AFA4CD0C"/>
    <w:lvl w:ilvl="0" w:tplc="C72C85F2">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5CA1602"/>
    <w:multiLevelType w:val="hybridMultilevel"/>
    <w:tmpl w:val="E9DC40B6"/>
    <w:lvl w:ilvl="0" w:tplc="F79A729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CD71F36"/>
    <w:multiLevelType w:val="hybridMultilevel"/>
    <w:tmpl w:val="EC8C7D7A"/>
    <w:lvl w:ilvl="0" w:tplc="10641DB2">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528032931">
    <w:abstractNumId w:val="10"/>
  </w:num>
  <w:num w:numId="2" w16cid:durableId="679508434">
    <w:abstractNumId w:val="7"/>
  </w:num>
  <w:num w:numId="3" w16cid:durableId="1956473433">
    <w:abstractNumId w:val="2"/>
  </w:num>
  <w:num w:numId="4" w16cid:durableId="1361512132">
    <w:abstractNumId w:val="5"/>
  </w:num>
  <w:num w:numId="5" w16cid:durableId="93744951">
    <w:abstractNumId w:val="9"/>
  </w:num>
  <w:num w:numId="6" w16cid:durableId="260072423">
    <w:abstractNumId w:val="8"/>
  </w:num>
  <w:num w:numId="7" w16cid:durableId="203565164">
    <w:abstractNumId w:val="3"/>
  </w:num>
  <w:num w:numId="8" w16cid:durableId="569390383">
    <w:abstractNumId w:val="0"/>
  </w:num>
  <w:num w:numId="9" w16cid:durableId="68500999">
    <w:abstractNumId w:val="13"/>
  </w:num>
  <w:num w:numId="10" w16cid:durableId="1717580787">
    <w:abstractNumId w:val="15"/>
  </w:num>
  <w:num w:numId="11" w16cid:durableId="397897564">
    <w:abstractNumId w:val="11"/>
  </w:num>
  <w:num w:numId="12" w16cid:durableId="261032034">
    <w:abstractNumId w:val="14"/>
  </w:num>
  <w:num w:numId="13" w16cid:durableId="2074808826">
    <w:abstractNumId w:val="6"/>
  </w:num>
  <w:num w:numId="14" w16cid:durableId="488442834">
    <w:abstractNumId w:val="12"/>
  </w:num>
  <w:num w:numId="15" w16cid:durableId="1992516497">
    <w:abstractNumId w:val="1"/>
  </w:num>
  <w:num w:numId="16" w16cid:durableId="21390300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F95"/>
    <w:rsid w:val="00010899"/>
    <w:rsid w:val="0003261A"/>
    <w:rsid w:val="00082729"/>
    <w:rsid w:val="000A0D89"/>
    <w:rsid w:val="000A2B8A"/>
    <w:rsid w:val="000C65B1"/>
    <w:rsid w:val="000D24DA"/>
    <w:rsid w:val="00103033"/>
    <w:rsid w:val="001036AD"/>
    <w:rsid w:val="001138FF"/>
    <w:rsid w:val="00123045"/>
    <w:rsid w:val="00125138"/>
    <w:rsid w:val="0013159C"/>
    <w:rsid w:val="001327D0"/>
    <w:rsid w:val="00151370"/>
    <w:rsid w:val="00157BCA"/>
    <w:rsid w:val="00164644"/>
    <w:rsid w:val="00174E7B"/>
    <w:rsid w:val="0017761D"/>
    <w:rsid w:val="00187EF9"/>
    <w:rsid w:val="00194BFA"/>
    <w:rsid w:val="001C02DE"/>
    <w:rsid w:val="001D093B"/>
    <w:rsid w:val="001E71D2"/>
    <w:rsid w:val="002148F0"/>
    <w:rsid w:val="0024054C"/>
    <w:rsid w:val="002408AD"/>
    <w:rsid w:val="00262660"/>
    <w:rsid w:val="00264B68"/>
    <w:rsid w:val="002723FE"/>
    <w:rsid w:val="00272463"/>
    <w:rsid w:val="00276BA9"/>
    <w:rsid w:val="002821EF"/>
    <w:rsid w:val="00290970"/>
    <w:rsid w:val="002A5101"/>
    <w:rsid w:val="002A771F"/>
    <w:rsid w:val="002C2EE6"/>
    <w:rsid w:val="002C59CA"/>
    <w:rsid w:val="002D3211"/>
    <w:rsid w:val="002E215B"/>
    <w:rsid w:val="002F336D"/>
    <w:rsid w:val="002F6451"/>
    <w:rsid w:val="002F6FB8"/>
    <w:rsid w:val="00316428"/>
    <w:rsid w:val="003348F0"/>
    <w:rsid w:val="00337B82"/>
    <w:rsid w:val="00337ED1"/>
    <w:rsid w:val="00362BB2"/>
    <w:rsid w:val="00365F95"/>
    <w:rsid w:val="003705E7"/>
    <w:rsid w:val="00375A75"/>
    <w:rsid w:val="00382279"/>
    <w:rsid w:val="003866F3"/>
    <w:rsid w:val="003B299F"/>
    <w:rsid w:val="003B6603"/>
    <w:rsid w:val="003C19AD"/>
    <w:rsid w:val="003C5DDC"/>
    <w:rsid w:val="003C634C"/>
    <w:rsid w:val="003D6554"/>
    <w:rsid w:val="003E08BF"/>
    <w:rsid w:val="003E39EE"/>
    <w:rsid w:val="003F04A4"/>
    <w:rsid w:val="003F2735"/>
    <w:rsid w:val="004002F8"/>
    <w:rsid w:val="00400535"/>
    <w:rsid w:val="00412707"/>
    <w:rsid w:val="004250A8"/>
    <w:rsid w:val="00425B59"/>
    <w:rsid w:val="004319A9"/>
    <w:rsid w:val="00441D29"/>
    <w:rsid w:val="004437B1"/>
    <w:rsid w:val="00494BDC"/>
    <w:rsid w:val="004A1FEC"/>
    <w:rsid w:val="004C0874"/>
    <w:rsid w:val="004C4D09"/>
    <w:rsid w:val="004D1F31"/>
    <w:rsid w:val="004D43C5"/>
    <w:rsid w:val="004E136B"/>
    <w:rsid w:val="004E2C17"/>
    <w:rsid w:val="004F749D"/>
    <w:rsid w:val="00500200"/>
    <w:rsid w:val="00503920"/>
    <w:rsid w:val="00512911"/>
    <w:rsid w:val="0053309D"/>
    <w:rsid w:val="00540585"/>
    <w:rsid w:val="005A3036"/>
    <w:rsid w:val="005C0831"/>
    <w:rsid w:val="005C3942"/>
    <w:rsid w:val="006027BF"/>
    <w:rsid w:val="00605AA2"/>
    <w:rsid w:val="00606987"/>
    <w:rsid w:val="0064796D"/>
    <w:rsid w:val="00650A15"/>
    <w:rsid w:val="006650BB"/>
    <w:rsid w:val="006678D5"/>
    <w:rsid w:val="00690C07"/>
    <w:rsid w:val="00692BD7"/>
    <w:rsid w:val="006A6D0B"/>
    <w:rsid w:val="006D1AE2"/>
    <w:rsid w:val="006D3627"/>
    <w:rsid w:val="006F5D58"/>
    <w:rsid w:val="00700D95"/>
    <w:rsid w:val="00710700"/>
    <w:rsid w:val="00722B27"/>
    <w:rsid w:val="0074152E"/>
    <w:rsid w:val="00751302"/>
    <w:rsid w:val="0078435C"/>
    <w:rsid w:val="007C168D"/>
    <w:rsid w:val="007C459F"/>
    <w:rsid w:val="007C4961"/>
    <w:rsid w:val="007D6FD0"/>
    <w:rsid w:val="007F36A6"/>
    <w:rsid w:val="007F657E"/>
    <w:rsid w:val="00802EEE"/>
    <w:rsid w:val="0081019D"/>
    <w:rsid w:val="00824A8C"/>
    <w:rsid w:val="0083033D"/>
    <w:rsid w:val="0083380A"/>
    <w:rsid w:val="00855CAD"/>
    <w:rsid w:val="00883476"/>
    <w:rsid w:val="00891CA9"/>
    <w:rsid w:val="00897C32"/>
    <w:rsid w:val="008C339B"/>
    <w:rsid w:val="008F1208"/>
    <w:rsid w:val="00905D73"/>
    <w:rsid w:val="0091425E"/>
    <w:rsid w:val="00917D0A"/>
    <w:rsid w:val="009231B3"/>
    <w:rsid w:val="009303FE"/>
    <w:rsid w:val="00931DE7"/>
    <w:rsid w:val="009432D4"/>
    <w:rsid w:val="009503E3"/>
    <w:rsid w:val="009534F5"/>
    <w:rsid w:val="00957128"/>
    <w:rsid w:val="00965FA9"/>
    <w:rsid w:val="0097511D"/>
    <w:rsid w:val="00993755"/>
    <w:rsid w:val="009C72A7"/>
    <w:rsid w:val="009D3609"/>
    <w:rsid w:val="009E1944"/>
    <w:rsid w:val="009F10F0"/>
    <w:rsid w:val="00A1224D"/>
    <w:rsid w:val="00A12730"/>
    <w:rsid w:val="00A12EA6"/>
    <w:rsid w:val="00A16871"/>
    <w:rsid w:val="00A20153"/>
    <w:rsid w:val="00A218E0"/>
    <w:rsid w:val="00A26BBE"/>
    <w:rsid w:val="00A4362C"/>
    <w:rsid w:val="00A57D71"/>
    <w:rsid w:val="00A7494D"/>
    <w:rsid w:val="00A830E4"/>
    <w:rsid w:val="00AB29C7"/>
    <w:rsid w:val="00AC7F65"/>
    <w:rsid w:val="00AD0C69"/>
    <w:rsid w:val="00AD3259"/>
    <w:rsid w:val="00AD64C8"/>
    <w:rsid w:val="00AF2369"/>
    <w:rsid w:val="00AF7A52"/>
    <w:rsid w:val="00B02E03"/>
    <w:rsid w:val="00B13137"/>
    <w:rsid w:val="00B426A3"/>
    <w:rsid w:val="00B467A8"/>
    <w:rsid w:val="00B506E0"/>
    <w:rsid w:val="00B66D10"/>
    <w:rsid w:val="00BF3919"/>
    <w:rsid w:val="00BF44C3"/>
    <w:rsid w:val="00BF5DBF"/>
    <w:rsid w:val="00C038E6"/>
    <w:rsid w:val="00C0714A"/>
    <w:rsid w:val="00C1132B"/>
    <w:rsid w:val="00C22677"/>
    <w:rsid w:val="00C62E40"/>
    <w:rsid w:val="00C66061"/>
    <w:rsid w:val="00C8147A"/>
    <w:rsid w:val="00C8580D"/>
    <w:rsid w:val="00C97838"/>
    <w:rsid w:val="00CE4613"/>
    <w:rsid w:val="00D16259"/>
    <w:rsid w:val="00D164E6"/>
    <w:rsid w:val="00D206AB"/>
    <w:rsid w:val="00D2373A"/>
    <w:rsid w:val="00D26C63"/>
    <w:rsid w:val="00D42B5B"/>
    <w:rsid w:val="00D4693B"/>
    <w:rsid w:val="00D77523"/>
    <w:rsid w:val="00D81EA4"/>
    <w:rsid w:val="00D91AB2"/>
    <w:rsid w:val="00DB0252"/>
    <w:rsid w:val="00DC535C"/>
    <w:rsid w:val="00DD2EF9"/>
    <w:rsid w:val="00DF15FD"/>
    <w:rsid w:val="00DF3F81"/>
    <w:rsid w:val="00DF54D2"/>
    <w:rsid w:val="00E05C8F"/>
    <w:rsid w:val="00E15C35"/>
    <w:rsid w:val="00E207A3"/>
    <w:rsid w:val="00E22008"/>
    <w:rsid w:val="00E2423D"/>
    <w:rsid w:val="00E43016"/>
    <w:rsid w:val="00E51B92"/>
    <w:rsid w:val="00E61556"/>
    <w:rsid w:val="00E7606E"/>
    <w:rsid w:val="00E919A5"/>
    <w:rsid w:val="00EA4E4D"/>
    <w:rsid w:val="00EC1320"/>
    <w:rsid w:val="00EE5D5D"/>
    <w:rsid w:val="00F27871"/>
    <w:rsid w:val="00F36E2A"/>
    <w:rsid w:val="00F52F43"/>
    <w:rsid w:val="00F6272C"/>
    <w:rsid w:val="00F654F6"/>
    <w:rsid w:val="00F84D70"/>
    <w:rsid w:val="00F97554"/>
    <w:rsid w:val="00FA46F2"/>
    <w:rsid w:val="00FA51A8"/>
    <w:rsid w:val="00FB6F6C"/>
    <w:rsid w:val="00FC2559"/>
    <w:rsid w:val="00FC63F3"/>
    <w:rsid w:val="00FD5193"/>
    <w:rsid w:val="00FE6F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A0F16"/>
  <w15:chartTrackingRefBased/>
  <w15:docId w15:val="{CDFA7E7A-B574-465C-9071-7CA8F7376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92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65F9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65F95"/>
  </w:style>
  <w:style w:type="paragraph" w:styleId="Rodap">
    <w:name w:val="footer"/>
    <w:basedOn w:val="Normal"/>
    <w:link w:val="RodapChar"/>
    <w:uiPriority w:val="99"/>
    <w:unhideWhenUsed/>
    <w:rsid w:val="00365F95"/>
    <w:pPr>
      <w:tabs>
        <w:tab w:val="center" w:pos="4252"/>
        <w:tab w:val="right" w:pos="8504"/>
      </w:tabs>
      <w:spacing w:after="0" w:line="240" w:lineRule="auto"/>
    </w:pPr>
  </w:style>
  <w:style w:type="character" w:customStyle="1" w:styleId="RodapChar">
    <w:name w:val="Rodapé Char"/>
    <w:basedOn w:val="Fontepargpadro"/>
    <w:link w:val="Rodap"/>
    <w:uiPriority w:val="99"/>
    <w:rsid w:val="00365F95"/>
  </w:style>
  <w:style w:type="paragraph" w:styleId="PargrafodaLista">
    <w:name w:val="List Paragraph"/>
    <w:basedOn w:val="Normal"/>
    <w:uiPriority w:val="34"/>
    <w:qFormat/>
    <w:rsid w:val="00503920"/>
    <w:pPr>
      <w:ind w:left="720"/>
      <w:contextualSpacing/>
    </w:pPr>
  </w:style>
  <w:style w:type="character" w:styleId="Hyperlink">
    <w:name w:val="Hyperlink"/>
    <w:basedOn w:val="Fontepargpadro"/>
    <w:uiPriority w:val="99"/>
    <w:unhideWhenUsed/>
    <w:rsid w:val="00C8580D"/>
    <w:rPr>
      <w:color w:val="0563C1" w:themeColor="hyperlink"/>
      <w:u w:val="single"/>
    </w:rPr>
  </w:style>
  <w:style w:type="character" w:styleId="Refdecomentrio">
    <w:name w:val="annotation reference"/>
    <w:basedOn w:val="Fontepargpadro"/>
    <w:uiPriority w:val="99"/>
    <w:semiHidden/>
    <w:unhideWhenUsed/>
    <w:rsid w:val="00C8580D"/>
    <w:rPr>
      <w:sz w:val="16"/>
      <w:szCs w:val="16"/>
    </w:rPr>
  </w:style>
  <w:style w:type="paragraph" w:styleId="Textodecomentrio">
    <w:name w:val="annotation text"/>
    <w:basedOn w:val="Normal"/>
    <w:link w:val="TextodecomentrioChar"/>
    <w:uiPriority w:val="99"/>
    <w:unhideWhenUsed/>
    <w:rsid w:val="00C8580D"/>
    <w:pPr>
      <w:spacing w:line="240" w:lineRule="auto"/>
    </w:pPr>
    <w:rPr>
      <w:sz w:val="20"/>
      <w:szCs w:val="20"/>
    </w:rPr>
  </w:style>
  <w:style w:type="character" w:customStyle="1" w:styleId="TextodecomentrioChar">
    <w:name w:val="Texto de comentário Char"/>
    <w:basedOn w:val="Fontepargpadro"/>
    <w:link w:val="Textodecomentrio"/>
    <w:uiPriority w:val="99"/>
    <w:rsid w:val="00C8580D"/>
    <w:rPr>
      <w:sz w:val="20"/>
      <w:szCs w:val="20"/>
    </w:rPr>
  </w:style>
  <w:style w:type="paragraph" w:styleId="Textodebalo">
    <w:name w:val="Balloon Text"/>
    <w:basedOn w:val="Normal"/>
    <w:link w:val="TextodebaloChar"/>
    <w:uiPriority w:val="99"/>
    <w:semiHidden/>
    <w:unhideWhenUsed/>
    <w:rsid w:val="00C8580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8580D"/>
    <w:rPr>
      <w:rFonts w:ascii="Segoe UI" w:hAnsi="Segoe UI" w:cs="Segoe UI"/>
      <w:sz w:val="18"/>
      <w:szCs w:val="18"/>
    </w:rPr>
  </w:style>
  <w:style w:type="paragraph" w:styleId="Assuntodocomentrio">
    <w:name w:val="annotation subject"/>
    <w:basedOn w:val="Textodecomentrio"/>
    <w:next w:val="Textodecomentrio"/>
    <w:link w:val="AssuntodocomentrioChar"/>
    <w:uiPriority w:val="99"/>
    <w:semiHidden/>
    <w:unhideWhenUsed/>
    <w:rsid w:val="006D1AE2"/>
    <w:rPr>
      <w:b/>
      <w:bCs/>
    </w:rPr>
  </w:style>
  <w:style w:type="character" w:customStyle="1" w:styleId="AssuntodocomentrioChar">
    <w:name w:val="Assunto do comentário Char"/>
    <w:basedOn w:val="TextodecomentrioChar"/>
    <w:link w:val="Assuntodocomentrio"/>
    <w:uiPriority w:val="99"/>
    <w:semiHidden/>
    <w:rsid w:val="006D1AE2"/>
    <w:rPr>
      <w:b/>
      <w:bCs/>
      <w:sz w:val="20"/>
      <w:szCs w:val="20"/>
    </w:rPr>
  </w:style>
  <w:style w:type="paragraph" w:styleId="NormalWeb">
    <w:name w:val="Normal (Web)"/>
    <w:basedOn w:val="Normal"/>
    <w:uiPriority w:val="99"/>
    <w:unhideWhenUsed/>
    <w:rsid w:val="002E215B"/>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2148F0"/>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6678D5"/>
    <w:rPr>
      <w:color w:val="605E5C"/>
      <w:shd w:val="clear" w:color="auto" w:fill="E1DFDD"/>
    </w:rPr>
  </w:style>
  <w:style w:type="character" w:styleId="HiperlinkVisitado">
    <w:name w:val="FollowedHyperlink"/>
    <w:basedOn w:val="Fontepargpadro"/>
    <w:uiPriority w:val="99"/>
    <w:semiHidden/>
    <w:unhideWhenUsed/>
    <w:rsid w:val="000A0D89"/>
    <w:rPr>
      <w:color w:val="954F72"/>
      <w:u w:val="single"/>
    </w:rPr>
  </w:style>
  <w:style w:type="paragraph" w:customStyle="1" w:styleId="msonormal0">
    <w:name w:val="msonormal"/>
    <w:basedOn w:val="Normal"/>
    <w:rsid w:val="000A0D8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5">
    <w:name w:val="xl65"/>
    <w:basedOn w:val="Normal"/>
    <w:rsid w:val="000A0D89"/>
    <w:pPr>
      <w:shd w:val="clear" w:color="00FFFF" w:fill="00FFFF"/>
      <w:spacing w:before="100" w:beforeAutospacing="1" w:after="100" w:afterAutospacing="1" w:line="240" w:lineRule="auto"/>
      <w:jc w:val="center"/>
    </w:pPr>
    <w:rPr>
      <w:rFonts w:ascii="Arial" w:eastAsia="Times New Roman" w:hAnsi="Arial" w:cs="Arial"/>
      <w:color w:val="000000"/>
      <w:sz w:val="24"/>
      <w:szCs w:val="24"/>
      <w:lang w:eastAsia="pt-BR"/>
    </w:rPr>
  </w:style>
  <w:style w:type="paragraph" w:customStyle="1" w:styleId="xl66">
    <w:name w:val="xl66"/>
    <w:basedOn w:val="Normal"/>
    <w:rsid w:val="000A0D8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7">
    <w:name w:val="xl67"/>
    <w:basedOn w:val="Normal"/>
    <w:rsid w:val="000A0D89"/>
    <w:pPr>
      <w:spacing w:before="100" w:beforeAutospacing="1" w:after="100" w:afterAutospacing="1" w:line="240" w:lineRule="auto"/>
    </w:pPr>
    <w:rPr>
      <w:rFonts w:ascii="Arial" w:eastAsia="Times New Roman" w:hAnsi="Arial" w:cs="Arial"/>
      <w:sz w:val="24"/>
      <w:szCs w:val="24"/>
      <w:lang w:eastAsia="pt-BR"/>
    </w:rPr>
  </w:style>
  <w:style w:type="paragraph" w:customStyle="1" w:styleId="xl68">
    <w:name w:val="xl68"/>
    <w:basedOn w:val="Normal"/>
    <w:rsid w:val="000A0D89"/>
    <w:pPr>
      <w:shd w:val="clear" w:color="ED7D31" w:fill="E46C0A"/>
      <w:spacing w:before="100" w:beforeAutospacing="1" w:after="100" w:afterAutospacing="1" w:line="240" w:lineRule="auto"/>
    </w:pPr>
    <w:rPr>
      <w:rFonts w:ascii="Arial" w:eastAsia="Times New Roman" w:hAnsi="Arial" w:cs="Arial"/>
      <w:sz w:val="24"/>
      <w:szCs w:val="24"/>
      <w:lang w:eastAsia="pt-BR"/>
    </w:rPr>
  </w:style>
  <w:style w:type="paragraph" w:customStyle="1" w:styleId="xl69">
    <w:name w:val="xl69"/>
    <w:basedOn w:val="Normal"/>
    <w:rsid w:val="000A0D89"/>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line="240" w:lineRule="auto"/>
      <w:jc w:val="center"/>
    </w:pPr>
    <w:rPr>
      <w:rFonts w:ascii="Arial" w:eastAsia="Times New Roman" w:hAnsi="Arial" w:cs="Arial"/>
      <w:b/>
      <w:bCs/>
      <w:sz w:val="24"/>
      <w:szCs w:val="24"/>
      <w:lang w:eastAsia="pt-BR"/>
    </w:rPr>
  </w:style>
  <w:style w:type="paragraph" w:customStyle="1" w:styleId="xl70">
    <w:name w:val="xl70"/>
    <w:basedOn w:val="Normal"/>
    <w:rsid w:val="000A0D89"/>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line="240" w:lineRule="auto"/>
      <w:jc w:val="center"/>
    </w:pPr>
    <w:rPr>
      <w:rFonts w:ascii="Arial" w:eastAsia="Times New Roman" w:hAnsi="Arial" w:cs="Arial"/>
      <w:sz w:val="24"/>
      <w:szCs w:val="24"/>
      <w:lang w:eastAsia="pt-BR"/>
    </w:rPr>
  </w:style>
  <w:style w:type="paragraph" w:customStyle="1" w:styleId="xl71">
    <w:name w:val="xl71"/>
    <w:basedOn w:val="Normal"/>
    <w:rsid w:val="000A0D89"/>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line="240" w:lineRule="auto"/>
    </w:pPr>
    <w:rPr>
      <w:rFonts w:ascii="Arial" w:eastAsia="Times New Roman" w:hAnsi="Arial" w:cs="Arial"/>
      <w:sz w:val="24"/>
      <w:szCs w:val="24"/>
      <w:lang w:eastAsia="pt-BR"/>
    </w:rPr>
  </w:style>
  <w:style w:type="paragraph" w:customStyle="1" w:styleId="xl72">
    <w:name w:val="xl72"/>
    <w:basedOn w:val="Normal"/>
    <w:rsid w:val="000A0D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t-BR"/>
    </w:rPr>
  </w:style>
  <w:style w:type="paragraph" w:customStyle="1" w:styleId="xl73">
    <w:name w:val="xl73"/>
    <w:basedOn w:val="Normal"/>
    <w:rsid w:val="000A0D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t-BR"/>
    </w:rPr>
  </w:style>
  <w:style w:type="paragraph" w:customStyle="1" w:styleId="xl74">
    <w:name w:val="xl74"/>
    <w:basedOn w:val="Normal"/>
    <w:rsid w:val="000A0D89"/>
    <w:pPr>
      <w:pBdr>
        <w:top w:val="single" w:sz="4" w:space="0" w:color="auto"/>
        <w:left w:val="single" w:sz="4" w:space="0" w:color="auto"/>
        <w:bottom w:val="single" w:sz="4" w:space="0" w:color="auto"/>
        <w:right w:val="single" w:sz="4" w:space="0" w:color="auto"/>
      </w:pBdr>
      <w:shd w:val="clear" w:color="FFF2CC" w:fill="FFFFFF"/>
      <w:spacing w:before="100" w:beforeAutospacing="1" w:after="100" w:afterAutospacing="1" w:line="240" w:lineRule="auto"/>
    </w:pPr>
    <w:rPr>
      <w:rFonts w:ascii="Arial" w:eastAsia="Times New Roman" w:hAnsi="Arial" w:cs="Arial"/>
      <w:sz w:val="24"/>
      <w:szCs w:val="24"/>
      <w:lang w:eastAsia="pt-BR"/>
    </w:rPr>
  </w:style>
  <w:style w:type="paragraph" w:customStyle="1" w:styleId="xl75">
    <w:name w:val="xl75"/>
    <w:basedOn w:val="Normal"/>
    <w:rsid w:val="000A0D89"/>
    <w:pPr>
      <w:pBdr>
        <w:top w:val="single" w:sz="4" w:space="0" w:color="auto"/>
        <w:left w:val="single" w:sz="4" w:space="0" w:color="auto"/>
        <w:bottom w:val="single" w:sz="4" w:space="0" w:color="auto"/>
        <w:right w:val="single" w:sz="4" w:space="0" w:color="auto"/>
      </w:pBdr>
      <w:shd w:val="clear" w:color="1F497D" w:fill="17375E"/>
      <w:spacing w:before="100" w:beforeAutospacing="1" w:after="100" w:afterAutospacing="1" w:line="240" w:lineRule="auto"/>
    </w:pPr>
    <w:rPr>
      <w:rFonts w:ascii="Arial" w:eastAsia="Times New Roman" w:hAnsi="Arial" w:cs="Arial"/>
      <w:sz w:val="24"/>
      <w:szCs w:val="24"/>
      <w:lang w:eastAsia="pt-BR"/>
    </w:rPr>
  </w:style>
  <w:style w:type="paragraph" w:customStyle="1" w:styleId="xl76">
    <w:name w:val="xl76"/>
    <w:basedOn w:val="Normal"/>
    <w:rsid w:val="000A0D89"/>
    <w:pPr>
      <w:pBdr>
        <w:top w:val="single" w:sz="4" w:space="0" w:color="auto"/>
        <w:left w:val="single" w:sz="4" w:space="0" w:color="auto"/>
        <w:bottom w:val="single" w:sz="4" w:space="0" w:color="auto"/>
        <w:right w:val="single" w:sz="4" w:space="0" w:color="auto"/>
      </w:pBdr>
      <w:shd w:val="clear" w:color="CCFFFF" w:fill="CCFFCC"/>
      <w:spacing w:before="100" w:beforeAutospacing="1" w:after="100" w:afterAutospacing="1" w:line="240" w:lineRule="auto"/>
    </w:pPr>
    <w:rPr>
      <w:rFonts w:ascii="Arial" w:eastAsia="Times New Roman" w:hAnsi="Arial" w:cs="Arial"/>
      <w:sz w:val="24"/>
      <w:szCs w:val="24"/>
      <w:lang w:eastAsia="pt-BR"/>
    </w:rPr>
  </w:style>
  <w:style w:type="paragraph" w:customStyle="1" w:styleId="xl77">
    <w:name w:val="xl77"/>
    <w:basedOn w:val="Normal"/>
    <w:rsid w:val="000A0D89"/>
    <w:pPr>
      <w:pBdr>
        <w:top w:val="single" w:sz="4" w:space="0" w:color="auto"/>
        <w:left w:val="single" w:sz="4" w:space="0" w:color="auto"/>
        <w:bottom w:val="single" w:sz="4" w:space="0" w:color="auto"/>
        <w:right w:val="single" w:sz="4" w:space="0" w:color="auto"/>
      </w:pBdr>
      <w:shd w:val="clear" w:color="DCE6F2" w:fill="D6DCE5"/>
      <w:spacing w:before="100" w:beforeAutospacing="1" w:after="100" w:afterAutospacing="1" w:line="240" w:lineRule="auto"/>
    </w:pPr>
    <w:rPr>
      <w:rFonts w:ascii="Arial" w:eastAsia="Times New Roman" w:hAnsi="Arial" w:cs="Arial"/>
      <w:color w:val="FF0000"/>
      <w:sz w:val="24"/>
      <w:szCs w:val="24"/>
      <w:lang w:eastAsia="pt-BR"/>
    </w:rPr>
  </w:style>
  <w:style w:type="paragraph" w:customStyle="1" w:styleId="xl78">
    <w:name w:val="xl78"/>
    <w:basedOn w:val="Normal"/>
    <w:rsid w:val="000A0D89"/>
    <w:pPr>
      <w:pBdr>
        <w:top w:val="single" w:sz="4" w:space="0" w:color="auto"/>
        <w:left w:val="single" w:sz="4" w:space="0" w:color="auto"/>
        <w:bottom w:val="single" w:sz="4" w:space="0" w:color="auto"/>
        <w:right w:val="single" w:sz="4" w:space="0" w:color="auto"/>
      </w:pBdr>
      <w:shd w:val="clear" w:color="DCE6F2" w:fill="D6DCE5"/>
      <w:spacing w:before="100" w:beforeAutospacing="1" w:after="100" w:afterAutospacing="1" w:line="240" w:lineRule="auto"/>
    </w:pPr>
    <w:rPr>
      <w:rFonts w:ascii="Arial" w:eastAsia="Times New Roman" w:hAnsi="Arial" w:cs="Arial"/>
      <w:sz w:val="24"/>
      <w:szCs w:val="24"/>
      <w:lang w:eastAsia="pt-BR"/>
    </w:rPr>
  </w:style>
  <w:style w:type="paragraph" w:customStyle="1" w:styleId="xl79">
    <w:name w:val="xl79"/>
    <w:basedOn w:val="Normal"/>
    <w:rsid w:val="000A0D89"/>
    <w:pPr>
      <w:pBdr>
        <w:top w:val="single" w:sz="4" w:space="0" w:color="auto"/>
        <w:left w:val="single" w:sz="4" w:space="0" w:color="auto"/>
        <w:bottom w:val="single" w:sz="4" w:space="0" w:color="auto"/>
        <w:right w:val="single" w:sz="4" w:space="0" w:color="auto"/>
      </w:pBdr>
      <w:shd w:val="clear" w:color="FFFFFF" w:fill="FFF2CC"/>
      <w:spacing w:before="100" w:beforeAutospacing="1" w:after="100" w:afterAutospacing="1" w:line="240" w:lineRule="auto"/>
    </w:pPr>
    <w:rPr>
      <w:rFonts w:ascii="Arial" w:eastAsia="Times New Roman" w:hAnsi="Arial" w:cs="Arial"/>
      <w:color w:val="FF0000"/>
      <w:sz w:val="24"/>
      <w:szCs w:val="24"/>
      <w:lang w:eastAsia="pt-BR"/>
    </w:rPr>
  </w:style>
  <w:style w:type="paragraph" w:customStyle="1" w:styleId="xl80">
    <w:name w:val="xl80"/>
    <w:basedOn w:val="Normal"/>
    <w:rsid w:val="000A0D89"/>
    <w:pPr>
      <w:pBdr>
        <w:top w:val="single" w:sz="4" w:space="0" w:color="auto"/>
        <w:left w:val="single" w:sz="4" w:space="0" w:color="auto"/>
        <w:bottom w:val="single" w:sz="4" w:space="0" w:color="auto"/>
        <w:right w:val="single" w:sz="4" w:space="0" w:color="auto"/>
      </w:pBdr>
      <w:shd w:val="clear" w:color="E46C0A" w:fill="ED7D31"/>
      <w:spacing w:before="100" w:beforeAutospacing="1" w:after="100" w:afterAutospacing="1" w:line="240" w:lineRule="auto"/>
    </w:pPr>
    <w:rPr>
      <w:rFonts w:ascii="Arial" w:eastAsia="Times New Roman" w:hAnsi="Arial" w:cs="Arial"/>
      <w:color w:val="FF0000"/>
      <w:sz w:val="24"/>
      <w:szCs w:val="24"/>
      <w:lang w:eastAsia="pt-BR"/>
    </w:rPr>
  </w:style>
  <w:style w:type="paragraph" w:customStyle="1" w:styleId="xl81">
    <w:name w:val="xl81"/>
    <w:basedOn w:val="Normal"/>
    <w:rsid w:val="000A0D89"/>
    <w:pPr>
      <w:pBdr>
        <w:left w:val="single" w:sz="4" w:space="0" w:color="auto"/>
        <w:bottom w:val="single" w:sz="4" w:space="0" w:color="auto"/>
        <w:right w:val="single" w:sz="4" w:space="0" w:color="auto"/>
      </w:pBdr>
      <w:shd w:val="clear" w:color="FFFF00" w:fill="FFFF00"/>
      <w:spacing w:before="100" w:beforeAutospacing="1" w:after="100" w:afterAutospacing="1" w:line="240" w:lineRule="auto"/>
      <w:jc w:val="center"/>
    </w:pPr>
    <w:rPr>
      <w:rFonts w:ascii="Arial" w:eastAsia="Times New Roman" w:hAnsi="Arial" w:cs="Arial"/>
      <w:b/>
      <w:bCs/>
      <w:sz w:val="24"/>
      <w:szCs w:val="24"/>
      <w:lang w:eastAsia="pt-BR"/>
    </w:rPr>
  </w:style>
  <w:style w:type="paragraph" w:customStyle="1" w:styleId="xl82">
    <w:name w:val="xl82"/>
    <w:basedOn w:val="Normal"/>
    <w:rsid w:val="000A0D89"/>
    <w:pPr>
      <w:pBdr>
        <w:left w:val="single" w:sz="4" w:space="0" w:color="auto"/>
        <w:bottom w:val="single" w:sz="4" w:space="0" w:color="auto"/>
        <w:right w:val="single" w:sz="4" w:space="0" w:color="auto"/>
      </w:pBdr>
      <w:shd w:val="clear" w:color="FFFF00" w:fill="FFFF00"/>
      <w:spacing w:before="100" w:beforeAutospacing="1" w:after="100" w:afterAutospacing="1" w:line="240" w:lineRule="auto"/>
      <w:jc w:val="center"/>
    </w:pPr>
    <w:rPr>
      <w:rFonts w:ascii="Arial" w:eastAsia="Times New Roman" w:hAnsi="Arial" w:cs="Arial"/>
      <w:sz w:val="24"/>
      <w:szCs w:val="24"/>
      <w:lang w:eastAsia="pt-BR"/>
    </w:rPr>
  </w:style>
  <w:style w:type="paragraph" w:customStyle="1" w:styleId="xl83">
    <w:name w:val="xl83"/>
    <w:basedOn w:val="Normal"/>
    <w:rsid w:val="000A0D89"/>
    <w:pPr>
      <w:pBdr>
        <w:left w:val="single" w:sz="4" w:space="0" w:color="auto"/>
        <w:bottom w:val="single" w:sz="4" w:space="0" w:color="auto"/>
        <w:right w:val="single" w:sz="4" w:space="0" w:color="auto"/>
      </w:pBdr>
      <w:shd w:val="clear" w:color="FFFF00" w:fill="FFFF00"/>
      <w:spacing w:before="100" w:beforeAutospacing="1" w:after="100" w:afterAutospacing="1" w:line="240" w:lineRule="auto"/>
    </w:pPr>
    <w:rPr>
      <w:rFonts w:ascii="Arial" w:eastAsia="Times New Roman" w:hAnsi="Arial" w:cs="Arial"/>
      <w:sz w:val="24"/>
      <w:szCs w:val="24"/>
      <w:lang w:eastAsia="pt-BR"/>
    </w:rPr>
  </w:style>
  <w:style w:type="paragraph" w:customStyle="1" w:styleId="xl84">
    <w:name w:val="xl84"/>
    <w:basedOn w:val="Normal"/>
    <w:rsid w:val="000A0D89"/>
    <w:pPr>
      <w:pBdr>
        <w:top w:val="single" w:sz="4" w:space="0" w:color="auto"/>
        <w:left w:val="single" w:sz="4" w:space="0" w:color="auto"/>
        <w:bottom w:val="single" w:sz="4" w:space="0" w:color="auto"/>
        <w:right w:val="single" w:sz="4" w:space="0" w:color="auto"/>
      </w:pBdr>
      <w:shd w:val="clear" w:color="1F497D" w:fill="17375E"/>
      <w:spacing w:before="100" w:beforeAutospacing="1" w:after="100" w:afterAutospacing="1" w:line="240" w:lineRule="auto"/>
    </w:pPr>
    <w:rPr>
      <w:rFonts w:ascii="Arial" w:eastAsia="Times New Roman" w:hAnsi="Arial" w:cs="Arial"/>
      <w:color w:val="FF0000"/>
      <w:sz w:val="24"/>
      <w:szCs w:val="24"/>
      <w:lang w:eastAsia="pt-BR"/>
    </w:rPr>
  </w:style>
  <w:style w:type="paragraph" w:customStyle="1" w:styleId="xl85">
    <w:name w:val="xl85"/>
    <w:basedOn w:val="Normal"/>
    <w:rsid w:val="000A0D89"/>
    <w:pPr>
      <w:pBdr>
        <w:top w:val="single" w:sz="4" w:space="0" w:color="auto"/>
        <w:left w:val="single" w:sz="4" w:space="0" w:color="auto"/>
        <w:bottom w:val="single" w:sz="4" w:space="0" w:color="auto"/>
        <w:right w:val="single" w:sz="4" w:space="0" w:color="auto"/>
      </w:pBdr>
      <w:shd w:val="clear" w:color="D6DCE5" w:fill="D7E4BD"/>
      <w:spacing w:before="100" w:beforeAutospacing="1" w:after="100" w:afterAutospacing="1" w:line="240" w:lineRule="auto"/>
    </w:pPr>
    <w:rPr>
      <w:rFonts w:ascii="Arial" w:eastAsia="Times New Roman" w:hAnsi="Arial" w:cs="Arial"/>
      <w:sz w:val="24"/>
      <w:szCs w:val="24"/>
      <w:lang w:eastAsia="pt-BR"/>
    </w:rPr>
  </w:style>
  <w:style w:type="paragraph" w:customStyle="1" w:styleId="xl86">
    <w:name w:val="xl86"/>
    <w:basedOn w:val="Normal"/>
    <w:rsid w:val="000A0D89"/>
    <w:pPr>
      <w:pBdr>
        <w:top w:val="single" w:sz="4" w:space="0" w:color="auto"/>
        <w:left w:val="single" w:sz="4" w:space="0" w:color="auto"/>
        <w:bottom w:val="single" w:sz="4" w:space="0" w:color="auto"/>
        <w:right w:val="single" w:sz="4" w:space="0" w:color="auto"/>
      </w:pBdr>
      <w:shd w:val="clear" w:color="CCFFFF" w:fill="CCFFCC"/>
      <w:spacing w:before="100" w:beforeAutospacing="1" w:after="100" w:afterAutospacing="1" w:line="240" w:lineRule="auto"/>
    </w:pPr>
    <w:rPr>
      <w:rFonts w:ascii="Arial" w:eastAsia="Times New Roman" w:hAnsi="Arial" w:cs="Arial"/>
      <w:sz w:val="24"/>
      <w:szCs w:val="24"/>
      <w:lang w:eastAsia="pt-BR"/>
    </w:rPr>
  </w:style>
  <w:style w:type="paragraph" w:customStyle="1" w:styleId="xl87">
    <w:name w:val="xl87"/>
    <w:basedOn w:val="Normal"/>
    <w:rsid w:val="000A0D89"/>
    <w:pPr>
      <w:pBdr>
        <w:top w:val="single" w:sz="4" w:space="0" w:color="auto"/>
        <w:left w:val="single" w:sz="4" w:space="0" w:color="auto"/>
        <w:bottom w:val="single" w:sz="4" w:space="0" w:color="auto"/>
        <w:right w:val="single" w:sz="4" w:space="0" w:color="auto"/>
      </w:pBdr>
      <w:shd w:val="clear" w:color="FFF2CC" w:fill="FFFFFF"/>
      <w:spacing w:before="100" w:beforeAutospacing="1" w:after="100" w:afterAutospacing="1" w:line="240" w:lineRule="auto"/>
      <w:jc w:val="right"/>
    </w:pPr>
    <w:rPr>
      <w:rFonts w:ascii="Arial" w:eastAsia="Times New Roman" w:hAnsi="Arial" w:cs="Arial"/>
      <w:sz w:val="24"/>
      <w:szCs w:val="24"/>
      <w:lang w:eastAsia="pt-BR"/>
    </w:rPr>
  </w:style>
  <w:style w:type="paragraph" w:customStyle="1" w:styleId="xl88">
    <w:name w:val="xl88"/>
    <w:basedOn w:val="Normal"/>
    <w:rsid w:val="000A0D89"/>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line="240" w:lineRule="auto"/>
      <w:jc w:val="center"/>
    </w:pPr>
    <w:rPr>
      <w:rFonts w:ascii="Arial" w:eastAsia="Times New Roman" w:hAnsi="Arial" w:cs="Arial"/>
      <w:b/>
      <w:bCs/>
      <w:sz w:val="24"/>
      <w:szCs w:val="24"/>
      <w:lang w:eastAsia="pt-BR"/>
    </w:rPr>
  </w:style>
  <w:style w:type="paragraph" w:customStyle="1" w:styleId="xl89">
    <w:name w:val="xl89"/>
    <w:basedOn w:val="Normal"/>
    <w:rsid w:val="000A0D89"/>
    <w:pPr>
      <w:pBdr>
        <w:top w:val="single" w:sz="4" w:space="0" w:color="auto"/>
        <w:left w:val="single" w:sz="4" w:space="0" w:color="auto"/>
        <w:bottom w:val="single" w:sz="4" w:space="0" w:color="auto"/>
        <w:right w:val="single" w:sz="4" w:space="0" w:color="auto"/>
      </w:pBdr>
      <w:shd w:val="clear" w:color="1F497D" w:fill="17375E"/>
      <w:spacing w:before="100" w:beforeAutospacing="1" w:after="100" w:afterAutospacing="1" w:line="240" w:lineRule="auto"/>
    </w:pPr>
    <w:rPr>
      <w:rFonts w:ascii="Arial" w:eastAsia="Times New Roman" w:hAnsi="Arial" w:cs="Arial"/>
      <w:color w:val="000000"/>
      <w:sz w:val="24"/>
      <w:szCs w:val="24"/>
      <w:lang w:eastAsia="pt-BR"/>
    </w:rPr>
  </w:style>
  <w:style w:type="paragraph" w:customStyle="1" w:styleId="xl90">
    <w:name w:val="xl90"/>
    <w:basedOn w:val="Normal"/>
    <w:rsid w:val="000A0D89"/>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line="240" w:lineRule="auto"/>
    </w:pPr>
    <w:rPr>
      <w:rFonts w:ascii="Arial" w:eastAsia="Times New Roman" w:hAnsi="Arial" w:cs="Arial"/>
      <w:sz w:val="24"/>
      <w:szCs w:val="24"/>
      <w:lang w:eastAsia="pt-BR"/>
    </w:rPr>
  </w:style>
  <w:style w:type="paragraph" w:customStyle="1" w:styleId="xl91">
    <w:name w:val="xl91"/>
    <w:basedOn w:val="Normal"/>
    <w:rsid w:val="000A0D89"/>
    <w:pPr>
      <w:pBdr>
        <w:top w:val="single" w:sz="4" w:space="0" w:color="auto"/>
        <w:left w:val="single" w:sz="4" w:space="0" w:color="auto"/>
        <w:bottom w:val="single" w:sz="4" w:space="0" w:color="auto"/>
        <w:right w:val="single" w:sz="4" w:space="0" w:color="auto"/>
      </w:pBdr>
      <w:shd w:val="clear" w:color="17375E" w:fill="002060"/>
      <w:spacing w:before="100" w:beforeAutospacing="1" w:after="100" w:afterAutospacing="1" w:line="240" w:lineRule="auto"/>
    </w:pPr>
    <w:rPr>
      <w:rFonts w:ascii="Arial" w:eastAsia="Times New Roman" w:hAnsi="Arial" w:cs="Arial"/>
      <w:sz w:val="24"/>
      <w:szCs w:val="24"/>
      <w:lang w:eastAsia="pt-BR"/>
    </w:rPr>
  </w:style>
  <w:style w:type="paragraph" w:customStyle="1" w:styleId="xl92">
    <w:name w:val="xl92"/>
    <w:basedOn w:val="Normal"/>
    <w:rsid w:val="000A0D89"/>
    <w:pPr>
      <w:pBdr>
        <w:top w:val="single" w:sz="4" w:space="0" w:color="auto"/>
        <w:left w:val="single" w:sz="4" w:space="0" w:color="auto"/>
        <w:right w:val="single" w:sz="4" w:space="0" w:color="auto"/>
      </w:pBdr>
      <w:shd w:val="clear" w:color="CCFFFF" w:fill="CCFFCC"/>
      <w:spacing w:before="100" w:beforeAutospacing="1" w:after="100" w:afterAutospacing="1" w:line="240" w:lineRule="auto"/>
    </w:pPr>
    <w:rPr>
      <w:rFonts w:ascii="Arial" w:eastAsia="Times New Roman" w:hAnsi="Arial" w:cs="Arial"/>
      <w:sz w:val="24"/>
      <w:szCs w:val="24"/>
      <w:lang w:eastAsia="pt-BR"/>
    </w:rPr>
  </w:style>
  <w:style w:type="paragraph" w:customStyle="1" w:styleId="xl93">
    <w:name w:val="xl93"/>
    <w:basedOn w:val="Normal"/>
    <w:rsid w:val="000A0D89"/>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line="240" w:lineRule="auto"/>
      <w:jc w:val="center"/>
    </w:pPr>
    <w:rPr>
      <w:rFonts w:ascii="Arial" w:eastAsia="Times New Roman" w:hAnsi="Arial" w:cs="Arial"/>
      <w:b/>
      <w:bCs/>
      <w:sz w:val="24"/>
      <w:szCs w:val="24"/>
      <w:lang w:eastAsia="pt-BR"/>
    </w:rPr>
  </w:style>
  <w:style w:type="paragraph" w:customStyle="1" w:styleId="xl94">
    <w:name w:val="xl94"/>
    <w:basedOn w:val="Normal"/>
    <w:rsid w:val="000A0D89"/>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line="240" w:lineRule="auto"/>
    </w:pPr>
    <w:rPr>
      <w:rFonts w:ascii="Arial" w:eastAsia="Times New Roman" w:hAnsi="Arial" w:cs="Arial"/>
      <w:sz w:val="24"/>
      <w:szCs w:val="24"/>
      <w:lang w:eastAsia="pt-BR"/>
    </w:rPr>
  </w:style>
  <w:style w:type="paragraph" w:customStyle="1" w:styleId="xl95">
    <w:name w:val="xl95"/>
    <w:basedOn w:val="Normal"/>
    <w:rsid w:val="000A0D89"/>
    <w:pPr>
      <w:pBdr>
        <w:top w:val="single" w:sz="4" w:space="0" w:color="auto"/>
        <w:left w:val="single" w:sz="4" w:space="0" w:color="auto"/>
        <w:right w:val="single" w:sz="4" w:space="0" w:color="auto"/>
      </w:pBdr>
      <w:shd w:val="clear" w:color="FFF2CC" w:fill="FFFFFF"/>
      <w:spacing w:before="100" w:beforeAutospacing="1" w:after="100" w:afterAutospacing="1" w:line="240" w:lineRule="auto"/>
    </w:pPr>
    <w:rPr>
      <w:rFonts w:ascii="Arial" w:eastAsia="Times New Roman" w:hAnsi="Arial" w:cs="Arial"/>
      <w:sz w:val="24"/>
      <w:szCs w:val="24"/>
      <w:lang w:eastAsia="pt-BR"/>
    </w:rPr>
  </w:style>
  <w:style w:type="paragraph" w:customStyle="1" w:styleId="xl96">
    <w:name w:val="xl96"/>
    <w:basedOn w:val="Normal"/>
    <w:rsid w:val="000A0D89"/>
    <w:pPr>
      <w:pBdr>
        <w:top w:val="single" w:sz="4" w:space="0" w:color="auto"/>
        <w:left w:val="single" w:sz="4" w:space="0" w:color="auto"/>
        <w:right w:val="single" w:sz="4" w:space="0" w:color="auto"/>
      </w:pBdr>
      <w:shd w:val="clear" w:color="1F497D" w:fill="17375E"/>
      <w:spacing w:before="100" w:beforeAutospacing="1" w:after="100" w:afterAutospacing="1" w:line="240" w:lineRule="auto"/>
    </w:pPr>
    <w:rPr>
      <w:rFonts w:ascii="Arial" w:eastAsia="Times New Roman" w:hAnsi="Arial" w:cs="Arial"/>
      <w:sz w:val="24"/>
      <w:szCs w:val="24"/>
      <w:lang w:eastAsia="pt-BR"/>
    </w:rPr>
  </w:style>
  <w:style w:type="paragraph" w:customStyle="1" w:styleId="xl97">
    <w:name w:val="xl97"/>
    <w:basedOn w:val="Normal"/>
    <w:rsid w:val="000A0D89"/>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t-BR"/>
    </w:rPr>
  </w:style>
  <w:style w:type="paragraph" w:customStyle="1" w:styleId="xl98">
    <w:name w:val="xl98"/>
    <w:basedOn w:val="Normal"/>
    <w:rsid w:val="000A0D89"/>
    <w:pPr>
      <w:pBdr>
        <w:top w:val="single" w:sz="4" w:space="0" w:color="auto"/>
      </w:pBdr>
      <w:shd w:val="clear" w:color="ED7D31" w:fill="E46C0A"/>
      <w:spacing w:before="100" w:beforeAutospacing="1" w:after="100" w:afterAutospacing="1" w:line="240" w:lineRule="auto"/>
    </w:pPr>
    <w:rPr>
      <w:rFonts w:ascii="Arial" w:eastAsia="Times New Roman" w:hAnsi="Arial" w:cs="Arial"/>
      <w:color w:val="FFC000"/>
      <w:sz w:val="24"/>
      <w:szCs w:val="24"/>
      <w:lang w:eastAsia="pt-BR"/>
    </w:rPr>
  </w:style>
  <w:style w:type="paragraph" w:customStyle="1" w:styleId="xl99">
    <w:name w:val="xl99"/>
    <w:basedOn w:val="Normal"/>
    <w:rsid w:val="000A0D89"/>
    <w:pPr>
      <w:pBdr>
        <w:top w:val="single" w:sz="4" w:space="0" w:color="auto"/>
      </w:pBdr>
      <w:shd w:val="clear" w:color="ED7D31" w:fill="E46C0A"/>
      <w:spacing w:before="100" w:beforeAutospacing="1" w:after="100" w:afterAutospacing="1" w:line="240" w:lineRule="auto"/>
    </w:pPr>
    <w:rPr>
      <w:rFonts w:ascii="Arial" w:eastAsia="Times New Roman" w:hAnsi="Arial" w:cs="Arial"/>
      <w:sz w:val="24"/>
      <w:szCs w:val="24"/>
      <w:lang w:eastAsia="pt-BR"/>
    </w:rPr>
  </w:style>
  <w:style w:type="paragraph" w:customStyle="1" w:styleId="xl100">
    <w:name w:val="xl100"/>
    <w:basedOn w:val="Normal"/>
    <w:rsid w:val="000A0D89"/>
    <w:pPr>
      <w:pBdr>
        <w:bottom w:val="single" w:sz="4" w:space="0" w:color="auto"/>
      </w:pBdr>
      <w:shd w:val="clear" w:color="ED7D31" w:fill="E46C0A"/>
      <w:spacing w:before="100" w:beforeAutospacing="1" w:after="100" w:afterAutospacing="1" w:line="240" w:lineRule="auto"/>
    </w:pPr>
    <w:rPr>
      <w:rFonts w:ascii="Arial" w:eastAsia="Times New Roman" w:hAnsi="Arial" w:cs="Arial"/>
      <w:sz w:val="24"/>
      <w:szCs w:val="24"/>
      <w:lang w:eastAsia="pt-BR"/>
    </w:rPr>
  </w:style>
  <w:style w:type="paragraph" w:customStyle="1" w:styleId="xl101">
    <w:name w:val="xl101"/>
    <w:basedOn w:val="Normal"/>
    <w:rsid w:val="000A0D89"/>
    <w:pPr>
      <w:pBdr>
        <w:left w:val="single" w:sz="4" w:space="0" w:color="auto"/>
        <w:bottom w:val="single" w:sz="4" w:space="0" w:color="auto"/>
        <w:right w:val="single" w:sz="4" w:space="0" w:color="auto"/>
      </w:pBdr>
      <w:shd w:val="clear" w:color="FFFF00" w:fill="FFFF00"/>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102">
    <w:name w:val="xl102"/>
    <w:basedOn w:val="Normal"/>
    <w:rsid w:val="000A0D89"/>
    <w:pPr>
      <w:shd w:val="clear" w:color="ED7D31" w:fill="E46C0A"/>
      <w:spacing w:before="100" w:beforeAutospacing="1" w:after="100" w:afterAutospacing="1" w:line="240" w:lineRule="auto"/>
      <w:jc w:val="center"/>
    </w:pPr>
    <w:rPr>
      <w:rFonts w:ascii="Arial" w:eastAsia="Times New Roman" w:hAnsi="Arial" w:cs="Arial"/>
      <w:color w:val="FF0000"/>
      <w:sz w:val="24"/>
      <w:szCs w:val="24"/>
      <w:lang w:eastAsia="pt-BR"/>
    </w:rPr>
  </w:style>
  <w:style w:type="paragraph" w:customStyle="1" w:styleId="xl103">
    <w:name w:val="xl103"/>
    <w:basedOn w:val="Normal"/>
    <w:rsid w:val="000A0D89"/>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104">
    <w:name w:val="xl104"/>
    <w:basedOn w:val="Normal"/>
    <w:rsid w:val="000A0D89"/>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105">
    <w:name w:val="xl105"/>
    <w:basedOn w:val="Normal"/>
    <w:rsid w:val="000A0D89"/>
    <w:pPr>
      <w:shd w:val="clear" w:color="00FFFF" w:fill="00FFFF"/>
      <w:spacing w:before="100" w:beforeAutospacing="1" w:after="100" w:afterAutospacing="1" w:line="240" w:lineRule="auto"/>
      <w:jc w:val="center"/>
    </w:pPr>
    <w:rPr>
      <w:rFonts w:ascii="Arial" w:eastAsia="Times New Roman" w:hAnsi="Arial" w:cs="Arial"/>
      <w:sz w:val="24"/>
      <w:szCs w:val="24"/>
      <w:lang w:eastAsia="pt-BR"/>
    </w:rPr>
  </w:style>
  <w:style w:type="paragraph" w:customStyle="1" w:styleId="xl106">
    <w:name w:val="xl106"/>
    <w:basedOn w:val="Normal"/>
    <w:rsid w:val="000A0D89"/>
    <w:pPr>
      <w:pBdr>
        <w:bottom w:val="single" w:sz="4" w:space="0" w:color="auto"/>
      </w:pBdr>
      <w:shd w:val="clear" w:color="ED7D31" w:fill="E46C0A"/>
      <w:spacing w:before="100" w:beforeAutospacing="1" w:after="100" w:afterAutospacing="1" w:line="240" w:lineRule="auto"/>
      <w:jc w:val="center"/>
    </w:pPr>
    <w:rPr>
      <w:rFonts w:ascii="Arial" w:eastAsia="Times New Roman" w:hAnsi="Arial" w:cs="Arial"/>
      <w:color w:val="FF0000"/>
      <w:sz w:val="24"/>
      <w:szCs w:val="24"/>
      <w:lang w:eastAsia="pt-BR"/>
    </w:rPr>
  </w:style>
  <w:style w:type="paragraph" w:customStyle="1" w:styleId="xl107">
    <w:name w:val="xl107"/>
    <w:basedOn w:val="Normal"/>
    <w:rsid w:val="000A0D89"/>
    <w:pPr>
      <w:pBdr>
        <w:top w:val="single" w:sz="4" w:space="0" w:color="auto"/>
        <w:left w:val="single" w:sz="4" w:space="0" w:color="auto"/>
        <w:bottom w:val="single" w:sz="4" w:space="0" w:color="auto"/>
        <w:right w:val="single" w:sz="4" w:space="0" w:color="auto"/>
      </w:pBdr>
      <w:shd w:val="clear" w:color="17375E" w:fill="002060"/>
      <w:spacing w:before="100" w:beforeAutospacing="1" w:after="100" w:afterAutospacing="1" w:line="240" w:lineRule="auto"/>
      <w:jc w:val="center"/>
    </w:pPr>
    <w:rPr>
      <w:rFonts w:ascii="Arial" w:eastAsia="Times New Roman" w:hAnsi="Arial" w:cs="Arial"/>
      <w:color w:val="1F497D"/>
      <w:sz w:val="24"/>
      <w:szCs w:val="24"/>
      <w:lang w:eastAsia="pt-BR"/>
    </w:rPr>
  </w:style>
  <w:style w:type="paragraph" w:customStyle="1" w:styleId="xl108">
    <w:name w:val="xl108"/>
    <w:basedOn w:val="Normal"/>
    <w:rsid w:val="000A0D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t-BR"/>
    </w:rPr>
  </w:style>
  <w:style w:type="paragraph" w:customStyle="1" w:styleId="TableParagraph">
    <w:name w:val="Table Paragraph"/>
    <w:basedOn w:val="Normal"/>
    <w:uiPriority w:val="1"/>
    <w:qFormat/>
    <w:rsid w:val="00500200"/>
    <w:pPr>
      <w:widowControl w:val="0"/>
      <w:autoSpaceDE w:val="0"/>
      <w:autoSpaceDN w:val="0"/>
      <w:spacing w:after="0" w:line="240" w:lineRule="auto"/>
    </w:pPr>
    <w:rPr>
      <w:rFonts w:ascii="Calibri" w:eastAsia="Calibri" w:hAnsi="Calibri" w:cs="Calibri"/>
      <w:lang w:val="pt-PT"/>
    </w:rPr>
  </w:style>
  <w:style w:type="paragraph" w:styleId="SemEspaamento">
    <w:name w:val="No Spacing"/>
    <w:link w:val="SemEspaamentoChar"/>
    <w:uiPriority w:val="1"/>
    <w:qFormat/>
    <w:rsid w:val="00375A75"/>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link w:val="SemEspaamento"/>
    <w:uiPriority w:val="1"/>
    <w:rsid w:val="00375A75"/>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91425E"/>
    <w:pPr>
      <w:widowControl w:val="0"/>
      <w:adjustRightInd w:val="0"/>
      <w:spacing w:after="0" w:line="240" w:lineRule="auto"/>
      <w:jc w:val="both"/>
      <w:textAlignment w:val="baseline"/>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91425E"/>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91425E"/>
    <w:rPr>
      <w:vertAlign w:val="superscript"/>
    </w:rPr>
  </w:style>
  <w:style w:type="paragraph" w:customStyle="1" w:styleId="Padro">
    <w:name w:val="Padrão"/>
    <w:link w:val="PadroChar"/>
    <w:qFormat/>
    <w:rsid w:val="00FB6F6C"/>
    <w:pPr>
      <w:widowControl w:val="0"/>
      <w:autoSpaceDN w:val="0"/>
      <w:adjustRightInd w:val="0"/>
      <w:spacing w:after="0" w:line="240" w:lineRule="auto"/>
    </w:pPr>
    <w:rPr>
      <w:rFonts w:ascii="Times New Roman" w:eastAsia="Times New Roman" w:hAnsi="Times New Roman" w:cs="Times New Roman"/>
      <w:color w:val="000000"/>
      <w:sz w:val="24"/>
      <w:szCs w:val="24"/>
      <w:lang w:val="pt-PT" w:eastAsia="pt-BR"/>
    </w:rPr>
  </w:style>
  <w:style w:type="character" w:customStyle="1" w:styleId="PadroChar">
    <w:name w:val="Padrão Char"/>
    <w:link w:val="Padro"/>
    <w:qFormat/>
    <w:locked/>
    <w:rsid w:val="00FB6F6C"/>
    <w:rPr>
      <w:rFonts w:ascii="Times New Roman" w:eastAsia="Times New Roman" w:hAnsi="Times New Roman" w:cs="Times New Roman"/>
      <w:color w:val="000000"/>
      <w:sz w:val="24"/>
      <w:szCs w:val="24"/>
      <w:lang w:val="pt-PT"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55919">
      <w:bodyDiv w:val="1"/>
      <w:marLeft w:val="0"/>
      <w:marRight w:val="0"/>
      <w:marTop w:val="0"/>
      <w:marBottom w:val="0"/>
      <w:divBdr>
        <w:top w:val="none" w:sz="0" w:space="0" w:color="auto"/>
        <w:left w:val="none" w:sz="0" w:space="0" w:color="auto"/>
        <w:bottom w:val="none" w:sz="0" w:space="0" w:color="auto"/>
        <w:right w:val="none" w:sz="0" w:space="0" w:color="auto"/>
      </w:divBdr>
      <w:divsChild>
        <w:div w:id="450167888">
          <w:marLeft w:val="0"/>
          <w:marRight w:val="0"/>
          <w:marTop w:val="0"/>
          <w:marBottom w:val="0"/>
          <w:divBdr>
            <w:top w:val="none" w:sz="0" w:space="0" w:color="auto"/>
            <w:left w:val="none" w:sz="0" w:space="0" w:color="auto"/>
            <w:bottom w:val="none" w:sz="0" w:space="0" w:color="auto"/>
            <w:right w:val="none" w:sz="0" w:space="0" w:color="auto"/>
          </w:divBdr>
          <w:divsChild>
            <w:div w:id="1736513712">
              <w:marLeft w:val="0"/>
              <w:marRight w:val="0"/>
              <w:marTop w:val="0"/>
              <w:marBottom w:val="0"/>
              <w:divBdr>
                <w:top w:val="none" w:sz="0" w:space="0" w:color="auto"/>
                <w:left w:val="none" w:sz="0" w:space="0" w:color="auto"/>
                <w:bottom w:val="none" w:sz="0" w:space="0" w:color="auto"/>
                <w:right w:val="none" w:sz="0" w:space="0" w:color="auto"/>
              </w:divBdr>
              <w:divsChild>
                <w:div w:id="1430199267">
                  <w:marLeft w:val="0"/>
                  <w:marRight w:val="0"/>
                  <w:marTop w:val="0"/>
                  <w:marBottom w:val="0"/>
                  <w:divBdr>
                    <w:top w:val="none" w:sz="0" w:space="0" w:color="auto"/>
                    <w:left w:val="none" w:sz="0" w:space="0" w:color="auto"/>
                    <w:bottom w:val="none" w:sz="0" w:space="0" w:color="auto"/>
                    <w:right w:val="none" w:sz="0" w:space="0" w:color="auto"/>
                  </w:divBdr>
                  <w:divsChild>
                    <w:div w:id="63963312">
                      <w:marLeft w:val="0"/>
                      <w:marRight w:val="0"/>
                      <w:marTop w:val="0"/>
                      <w:marBottom w:val="0"/>
                      <w:divBdr>
                        <w:top w:val="none" w:sz="0" w:space="0" w:color="auto"/>
                        <w:left w:val="none" w:sz="0" w:space="0" w:color="auto"/>
                        <w:bottom w:val="none" w:sz="0" w:space="0" w:color="auto"/>
                        <w:right w:val="none" w:sz="0" w:space="0" w:color="auto"/>
                      </w:divBdr>
                      <w:divsChild>
                        <w:div w:id="1168785009">
                          <w:marLeft w:val="0"/>
                          <w:marRight w:val="0"/>
                          <w:marTop w:val="0"/>
                          <w:marBottom w:val="0"/>
                          <w:divBdr>
                            <w:top w:val="none" w:sz="0" w:space="0" w:color="auto"/>
                            <w:left w:val="none" w:sz="0" w:space="0" w:color="auto"/>
                            <w:bottom w:val="none" w:sz="0" w:space="0" w:color="auto"/>
                            <w:right w:val="none" w:sz="0" w:space="0" w:color="auto"/>
                          </w:divBdr>
                          <w:divsChild>
                            <w:div w:id="115895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1696159">
      <w:bodyDiv w:val="1"/>
      <w:marLeft w:val="0"/>
      <w:marRight w:val="0"/>
      <w:marTop w:val="0"/>
      <w:marBottom w:val="0"/>
      <w:divBdr>
        <w:top w:val="none" w:sz="0" w:space="0" w:color="auto"/>
        <w:left w:val="none" w:sz="0" w:space="0" w:color="auto"/>
        <w:bottom w:val="none" w:sz="0" w:space="0" w:color="auto"/>
        <w:right w:val="none" w:sz="0" w:space="0" w:color="auto"/>
      </w:divBdr>
      <w:divsChild>
        <w:div w:id="1819835995">
          <w:marLeft w:val="0"/>
          <w:marRight w:val="0"/>
          <w:marTop w:val="0"/>
          <w:marBottom w:val="0"/>
          <w:divBdr>
            <w:top w:val="none" w:sz="0" w:space="0" w:color="auto"/>
            <w:left w:val="none" w:sz="0" w:space="0" w:color="auto"/>
            <w:bottom w:val="none" w:sz="0" w:space="0" w:color="auto"/>
            <w:right w:val="none" w:sz="0" w:space="0" w:color="auto"/>
          </w:divBdr>
          <w:divsChild>
            <w:div w:id="513999812">
              <w:marLeft w:val="0"/>
              <w:marRight w:val="0"/>
              <w:marTop w:val="0"/>
              <w:marBottom w:val="0"/>
              <w:divBdr>
                <w:top w:val="none" w:sz="0" w:space="0" w:color="auto"/>
                <w:left w:val="none" w:sz="0" w:space="0" w:color="auto"/>
                <w:bottom w:val="none" w:sz="0" w:space="0" w:color="auto"/>
                <w:right w:val="none" w:sz="0" w:space="0" w:color="auto"/>
              </w:divBdr>
              <w:divsChild>
                <w:div w:id="109594429">
                  <w:marLeft w:val="0"/>
                  <w:marRight w:val="0"/>
                  <w:marTop w:val="0"/>
                  <w:marBottom w:val="0"/>
                  <w:divBdr>
                    <w:top w:val="none" w:sz="0" w:space="0" w:color="auto"/>
                    <w:left w:val="none" w:sz="0" w:space="0" w:color="auto"/>
                    <w:bottom w:val="none" w:sz="0" w:space="0" w:color="auto"/>
                    <w:right w:val="none" w:sz="0" w:space="0" w:color="auto"/>
                  </w:divBdr>
                  <w:divsChild>
                    <w:div w:id="819079708">
                      <w:marLeft w:val="0"/>
                      <w:marRight w:val="0"/>
                      <w:marTop w:val="0"/>
                      <w:marBottom w:val="0"/>
                      <w:divBdr>
                        <w:top w:val="none" w:sz="0" w:space="0" w:color="auto"/>
                        <w:left w:val="none" w:sz="0" w:space="0" w:color="auto"/>
                        <w:bottom w:val="none" w:sz="0" w:space="0" w:color="auto"/>
                        <w:right w:val="none" w:sz="0" w:space="0" w:color="auto"/>
                      </w:divBdr>
                      <w:divsChild>
                        <w:div w:id="1433866292">
                          <w:marLeft w:val="0"/>
                          <w:marRight w:val="0"/>
                          <w:marTop w:val="0"/>
                          <w:marBottom w:val="0"/>
                          <w:divBdr>
                            <w:top w:val="none" w:sz="0" w:space="0" w:color="auto"/>
                            <w:left w:val="none" w:sz="0" w:space="0" w:color="auto"/>
                            <w:bottom w:val="none" w:sz="0" w:space="0" w:color="auto"/>
                            <w:right w:val="none" w:sz="0" w:space="0" w:color="auto"/>
                          </w:divBdr>
                          <w:divsChild>
                            <w:div w:id="16077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4409020">
      <w:bodyDiv w:val="1"/>
      <w:marLeft w:val="0"/>
      <w:marRight w:val="0"/>
      <w:marTop w:val="0"/>
      <w:marBottom w:val="0"/>
      <w:divBdr>
        <w:top w:val="none" w:sz="0" w:space="0" w:color="auto"/>
        <w:left w:val="none" w:sz="0" w:space="0" w:color="auto"/>
        <w:bottom w:val="none" w:sz="0" w:space="0" w:color="auto"/>
        <w:right w:val="none" w:sz="0" w:space="0" w:color="auto"/>
      </w:divBdr>
    </w:div>
    <w:div w:id="882325351">
      <w:bodyDiv w:val="1"/>
      <w:marLeft w:val="0"/>
      <w:marRight w:val="0"/>
      <w:marTop w:val="0"/>
      <w:marBottom w:val="0"/>
      <w:divBdr>
        <w:top w:val="none" w:sz="0" w:space="0" w:color="auto"/>
        <w:left w:val="none" w:sz="0" w:space="0" w:color="auto"/>
        <w:bottom w:val="none" w:sz="0" w:space="0" w:color="auto"/>
        <w:right w:val="none" w:sz="0" w:space="0" w:color="auto"/>
      </w:divBdr>
    </w:div>
    <w:div w:id="1055085585">
      <w:bodyDiv w:val="1"/>
      <w:marLeft w:val="0"/>
      <w:marRight w:val="0"/>
      <w:marTop w:val="0"/>
      <w:marBottom w:val="0"/>
      <w:divBdr>
        <w:top w:val="none" w:sz="0" w:space="0" w:color="auto"/>
        <w:left w:val="none" w:sz="0" w:space="0" w:color="auto"/>
        <w:bottom w:val="none" w:sz="0" w:space="0" w:color="auto"/>
        <w:right w:val="none" w:sz="0" w:space="0" w:color="auto"/>
      </w:divBdr>
    </w:div>
    <w:div w:id="1229804305">
      <w:bodyDiv w:val="1"/>
      <w:marLeft w:val="0"/>
      <w:marRight w:val="0"/>
      <w:marTop w:val="0"/>
      <w:marBottom w:val="0"/>
      <w:divBdr>
        <w:top w:val="none" w:sz="0" w:space="0" w:color="auto"/>
        <w:left w:val="none" w:sz="0" w:space="0" w:color="auto"/>
        <w:bottom w:val="none" w:sz="0" w:space="0" w:color="auto"/>
        <w:right w:val="none" w:sz="0" w:space="0" w:color="auto"/>
      </w:divBdr>
    </w:div>
    <w:div w:id="1437748989">
      <w:bodyDiv w:val="1"/>
      <w:marLeft w:val="0"/>
      <w:marRight w:val="0"/>
      <w:marTop w:val="0"/>
      <w:marBottom w:val="0"/>
      <w:divBdr>
        <w:top w:val="none" w:sz="0" w:space="0" w:color="auto"/>
        <w:left w:val="none" w:sz="0" w:space="0" w:color="auto"/>
        <w:bottom w:val="none" w:sz="0" w:space="0" w:color="auto"/>
        <w:right w:val="none" w:sz="0" w:space="0" w:color="auto"/>
      </w:divBdr>
    </w:div>
    <w:div w:id="203229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761</TotalTime>
  <Pages>6</Pages>
  <Words>3281</Words>
  <Characters>17718</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Particular</cp:lastModifiedBy>
  <cp:revision>172</cp:revision>
  <cp:lastPrinted>2025-02-05T16:50:00Z</cp:lastPrinted>
  <dcterms:created xsi:type="dcterms:W3CDTF">2022-09-28T23:35:00Z</dcterms:created>
  <dcterms:modified xsi:type="dcterms:W3CDTF">2025-02-05T16:55:00Z</dcterms:modified>
</cp:coreProperties>
</file>