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E570F" w14:textId="77777777" w:rsidR="007E0A6E" w:rsidRPr="002A56F8" w:rsidRDefault="007E0A6E" w:rsidP="002A56F8">
      <w:pPr>
        <w:jc w:val="center"/>
        <w:rPr>
          <w:rFonts w:eastAsia="Arial"/>
          <w:b/>
          <w:bCs/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>Secretária Municipal de Educação, Cultura e Esporte</w:t>
      </w:r>
    </w:p>
    <w:p w14:paraId="23AEB989" w14:textId="0422CACF" w:rsidR="00175C02" w:rsidRPr="002A56F8" w:rsidRDefault="00435FC7" w:rsidP="002A56F8">
      <w:pPr>
        <w:jc w:val="center"/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 xml:space="preserve">Solicitação nº </w:t>
      </w:r>
      <w:r w:rsidR="00F93EB0">
        <w:rPr>
          <w:rFonts w:eastAsia="Arial"/>
          <w:b/>
          <w:bCs/>
          <w:sz w:val="22"/>
          <w:szCs w:val="22"/>
        </w:rPr>
        <w:t>047</w:t>
      </w:r>
      <w:r w:rsidRPr="002A56F8">
        <w:rPr>
          <w:rFonts w:eastAsia="Arial"/>
          <w:b/>
          <w:bCs/>
          <w:sz w:val="22"/>
          <w:szCs w:val="22"/>
        </w:rPr>
        <w:t>/2026</w:t>
      </w:r>
    </w:p>
    <w:p w14:paraId="01108382" w14:textId="77777777" w:rsidR="00175C02" w:rsidRPr="002A56F8" w:rsidRDefault="00435FC7" w:rsidP="002A56F8">
      <w:pPr>
        <w:jc w:val="center"/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>ESTUDO TÉCNICO PRELIMINAR</w:t>
      </w:r>
    </w:p>
    <w:p w14:paraId="7191B152" w14:textId="77777777" w:rsidR="00D86368" w:rsidRPr="002A56F8" w:rsidRDefault="00D86368" w:rsidP="002A56F8">
      <w:pPr>
        <w:rPr>
          <w:rFonts w:eastAsia="Arial"/>
          <w:i/>
          <w:iCs/>
          <w:color w:val="7F6000"/>
          <w:sz w:val="22"/>
          <w:szCs w:val="22"/>
        </w:rPr>
      </w:pPr>
    </w:p>
    <w:p w14:paraId="7D4C7F3D" w14:textId="77777777" w:rsidR="00175C02" w:rsidRPr="002A56F8" w:rsidRDefault="00435FC7" w:rsidP="002A56F8">
      <w:pPr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  <w:u w:val="single"/>
        </w:rPr>
        <w:t>1. Descrição da necessidade da contratação, considerado o problema a ser resolvido sob a perspectiva do interesse público</w:t>
      </w:r>
    </w:p>
    <w:p w14:paraId="7ABA347A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A presente contratação tem por finalidade atender à necessidade do Município de Palmitos/SC quanto à elaboração dos projetos técnicos e complementares necessários à construção de uma Arena Esportiva Multiuso, com dimensões aproximadas de 80,00m x 50,00m (área aproximada de 4.000,00 m²), contemplando quadra oficial de 40,00m x 20,00m, arquibancada, vestiários, banheiros, salas de apoio e demais dependências, compreendendo todos os elementos necessários à adequada definição das soluções de engenharia e arquitetura, bem como à futura contratação da execução da obra.</w:t>
      </w:r>
    </w:p>
    <w:p w14:paraId="547C2D1F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Atualmente, o Município não dispõe dos projetos técnicos necessários para viabilizar a implantação da Arena, situação que impede a adequada definição das soluções de engenharia, dificulta a estimativa precisa dos custos envolvidos e inviabiliza a futura contratação da execução da obra com a segurança técnica e jurídica exigida pela Lei nº 14.133/2021.</w:t>
      </w:r>
    </w:p>
    <w:p w14:paraId="3ADBE164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A ausência de projetos técnicos completos, consistentes e compatibilizados compromete o planejamento das ações da Administração, dificulta a correta definição do objeto a ser futuramente licitado e aumenta os riscos de falhas na execução, divergências de quantitativos, inadequação de soluções técnicas, atrasos, retrabalho, sobrecustos e necessidade de alterações contratuais, com potencial prejuízo à eficiência administrativa e à adequada aplicação dos recursos públicos.</w:t>
      </w:r>
    </w:p>
    <w:p w14:paraId="20629F15" w14:textId="0C1DDE42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 xml:space="preserve">A necessidade decorre da intenção da Administração Municipal de dotar o Município de equipamento esportivo de grande porte, apto a sediar competições oficiais de quadra (40,00m x 20,00m), eventos comunitários, culturais e sociais, com infraestrutura adequada de vestiários, banheiros, salas de apoio e arquibancada, fortalecendo a prática esportiva, o lazer e a convivência comunitária. Para tanto, mostra-se indispensável a elaboração de projetos contemplando, no mínimo, os </w:t>
      </w:r>
      <w:r w:rsidR="002A56F8" w:rsidRPr="002A56F8">
        <w:rPr>
          <w:rFonts w:eastAsia="Arial"/>
          <w:sz w:val="22"/>
          <w:szCs w:val="22"/>
        </w:rPr>
        <w:t>componentes arquitetônicos</w:t>
      </w:r>
      <w:r w:rsidRPr="002A56F8">
        <w:rPr>
          <w:rFonts w:eastAsia="Arial"/>
          <w:sz w:val="22"/>
          <w:szCs w:val="22"/>
        </w:rPr>
        <w:t>, estrutural, complementares (elétrico, hidrossanitário, pluvial e SPDA), de acessibilidade, de prevenção e combate a incêndio, executivo, memorial descritivo, memoriais de cálculo, quantitativos, cronograma físico-financeiro e planilhas orçamentárias com e sem BDI.</w:t>
      </w:r>
    </w:p>
    <w:p w14:paraId="027DB5BC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Além disso, a elaboração prévia desses projetos é medida necessária para instruir adequadamente a futura contratação da execução da obra, conferindo à Administração melhores condições para:</w:t>
      </w:r>
    </w:p>
    <w:p w14:paraId="2BB19D41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definir com precisão o objeto a ser executado;</w:t>
      </w:r>
    </w:p>
    <w:p w14:paraId="57EA83AE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estimar custos de forma mais segura e fundamentada;</w:t>
      </w:r>
    </w:p>
    <w:p w14:paraId="5ACA9C7A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estabelecer prazos e métodos construtivos compatíveis com a realidade local;</w:t>
      </w:r>
    </w:p>
    <w:p w14:paraId="29E1CE3C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reduzir riscos de impropriedades técnicas e orçamentárias;</w:t>
      </w:r>
    </w:p>
    <w:p w14:paraId="56B1AC70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minimizar a ocorrência de aditivos e alterações contratuais;</w:t>
      </w:r>
    </w:p>
    <w:p w14:paraId="793119F4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promover maior eficiência, economicidade e segurança ao processo de contratação pública.</w:t>
      </w:r>
    </w:p>
    <w:p w14:paraId="6BBD9A9A" w14:textId="77777777" w:rsidR="00175C02" w:rsidRPr="002A56F8" w:rsidRDefault="00435FC7" w:rsidP="002A56F8">
      <w:pPr>
        <w:jc w:val="both"/>
        <w:rPr>
          <w:rFonts w:eastAsia="Arial"/>
          <w:sz w:val="22"/>
          <w:szCs w:val="22"/>
        </w:rPr>
      </w:pPr>
      <w:r w:rsidRPr="002A56F8">
        <w:rPr>
          <w:rFonts w:eastAsia="Arial"/>
          <w:sz w:val="22"/>
          <w:szCs w:val="22"/>
        </w:rPr>
        <w:t>A não realização da contratação manterá a impossibilidade de implantação do empreendimento pretendido, comprometendo o planejamento municipal, a estruturação da futura contratação e a adequada execução das políticas públicas relacionadas ao esporte, ao lazer e ao desenvolvimento local.</w:t>
      </w:r>
    </w:p>
    <w:p w14:paraId="63E0F49D" w14:textId="77777777" w:rsidR="00175C02" w:rsidRDefault="00435FC7" w:rsidP="002A56F8">
      <w:pPr>
        <w:jc w:val="both"/>
        <w:rPr>
          <w:rFonts w:eastAsia="Arial"/>
          <w:sz w:val="22"/>
          <w:szCs w:val="22"/>
        </w:rPr>
      </w:pPr>
      <w:r w:rsidRPr="002A56F8">
        <w:rPr>
          <w:rFonts w:eastAsia="Arial"/>
          <w:sz w:val="22"/>
          <w:szCs w:val="22"/>
        </w:rPr>
        <w:t>Assim, a contratação de empresa especializada justifica-se pela necessidade de obtenção de elementos técnicos suficientes e adequados à futura execução do empreendimento pretendido, em atendimento ao interesse público, ao planejamento municipal e à boa gestão dos recursos públicos, em conformidade com a fase preparatória prevista no art. 18 da Lei nº 14.133/2021.</w:t>
      </w:r>
    </w:p>
    <w:p w14:paraId="01C83DC7" w14:textId="77777777" w:rsidR="002A56F8" w:rsidRPr="002A56F8" w:rsidRDefault="002A56F8" w:rsidP="002A56F8">
      <w:pPr>
        <w:jc w:val="both"/>
        <w:rPr>
          <w:sz w:val="22"/>
          <w:szCs w:val="22"/>
        </w:rPr>
      </w:pPr>
    </w:p>
    <w:p w14:paraId="48150FD0" w14:textId="77777777" w:rsidR="00175C02" w:rsidRPr="002A56F8" w:rsidRDefault="00435FC7" w:rsidP="002A56F8">
      <w:pPr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  <w:u w:val="single"/>
        </w:rPr>
        <w:t>2. Demonstração da previsão da contratação no plano de contratações anual</w:t>
      </w:r>
    </w:p>
    <w:p w14:paraId="6B0C842A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O Município de Palmitos/SC ainda não elaborou o Plano de Contratações Anual, razão pela qual não há previsão formal da presente contratação nesse instrumento.</w:t>
      </w:r>
    </w:p>
    <w:p w14:paraId="5A3724C9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lastRenderedPageBreak/>
        <w:t>Contudo, a contratação encontra-se alinhada com o planejamento da Administração Municipal, especialmente no que se refere às ações voltadas ao esporte, ao lazer e à melhoria da infraestrutura urbana, bem como à captação de recursos para execução de obras públicas.</w:t>
      </w:r>
    </w:p>
    <w:p w14:paraId="108B11A8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A elaboração de projetos de engenharia constitui etapa essencial para viabilizar a intervenção pretendida, estando diretamente relacionada às metas e prioridades da Secretaria Municipal responsável pela área de esportes/infraestrutura.</w:t>
      </w:r>
    </w:p>
    <w:p w14:paraId="42311D51" w14:textId="77777777" w:rsidR="00175C02" w:rsidRDefault="00435FC7" w:rsidP="002A56F8">
      <w:pPr>
        <w:jc w:val="both"/>
        <w:rPr>
          <w:rFonts w:eastAsia="Arial"/>
          <w:sz w:val="22"/>
          <w:szCs w:val="22"/>
        </w:rPr>
      </w:pPr>
      <w:r w:rsidRPr="002A56F8">
        <w:rPr>
          <w:rFonts w:eastAsia="Arial"/>
          <w:sz w:val="22"/>
          <w:szCs w:val="22"/>
        </w:rPr>
        <w:t>Dessa forma, ainda que inexistente o Plano de Contratações Anual, resta evidenciado o alinhamento da contratação com o interesse público e com o planejamento estratégico da Administração.</w:t>
      </w:r>
    </w:p>
    <w:p w14:paraId="08D1FF47" w14:textId="77777777" w:rsidR="002A56F8" w:rsidRPr="002A56F8" w:rsidRDefault="002A56F8" w:rsidP="002A56F8">
      <w:pPr>
        <w:jc w:val="both"/>
        <w:rPr>
          <w:sz w:val="22"/>
          <w:szCs w:val="22"/>
        </w:rPr>
      </w:pPr>
    </w:p>
    <w:p w14:paraId="713E8A9C" w14:textId="77777777" w:rsidR="00175C02" w:rsidRPr="002A56F8" w:rsidRDefault="00435FC7" w:rsidP="002A56F8">
      <w:pPr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  <w:u w:val="single"/>
        </w:rPr>
        <w:t>3. Requisitos da contratação</w:t>
      </w:r>
    </w:p>
    <w:p w14:paraId="075868E1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A contratada deverá atender aos seguintes requisitos mínimos para execução do objeto:</w:t>
      </w:r>
    </w:p>
    <w:p w14:paraId="65BC29EC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Ser pessoa jurídica especializada na prestação de serviços técnicos profissionais de engenharia e/ou arquitetura compatíveis com o objeto da contratação;</w:t>
      </w:r>
    </w:p>
    <w:p w14:paraId="7EA126AF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Possuir registro ou inscrição regular junto ao Conselho Regional de Engenharia e Agronomia (CREA) e/ou Conselho de Arquitetura e Urbanismo (CAU), conforme a natureza dos serviços a serem executados;</w:t>
      </w:r>
    </w:p>
    <w:p w14:paraId="0756139E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Possuir capacidade técnica compatível com a complexidade e características do objeto, mediante comprovação na forma estabelecida no edital e no Termo de Referência;</w:t>
      </w:r>
    </w:p>
    <w:p w14:paraId="0C3B5A9C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Elaborar todos os projetos, estudos, levantamentos, memoriais, especificações técnicas, planilhas orçamentárias, cronogramas, relatórios e demais documentos necessários à completa caracterização do empreendimento;</w:t>
      </w:r>
    </w:p>
    <w:p w14:paraId="5C0FCDB7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Executar os serviços observando as normas técnicas aplicáveis, a legislação vigente e as diretrizes estabelecidas pela Administração Municipal;</w:t>
      </w:r>
    </w:p>
    <w:p w14:paraId="6553C46A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Emitir as respectivas Anotações de Responsabilidade Técnica (ART) e/ou Registros de Responsabilidade Técnica (RRT) para todos os serviços desenvolvidos;</w:t>
      </w:r>
    </w:p>
    <w:p w14:paraId="59A2F5AA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Responsabilizar-se pela correção de erros, omissões, incompatibilidades ou inconsistências identificadas nos projetos e documentos técnicos elaborados, sem ônus adicional para a Administração;</w:t>
      </w:r>
    </w:p>
    <w:p w14:paraId="5BB76ED2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Manter durante toda a execução contratual as condições de habilitação e qualificação exigidas na licitação;</w:t>
      </w:r>
    </w:p>
    <w:p w14:paraId="272355FE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Fornecer todos os documentos técnicos em formato digital editável e não editável, bem como em meio impresso quando solicitado pela Administração, incluindo, no mínimo, arquivos DWG, PDF, XLSX e DOCX ou equivalentes;</w:t>
      </w:r>
    </w:p>
    <w:p w14:paraId="11A6B3BD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Fornecer todos os elementos necessários para futura licitação e execução da obra, incluindo projetos, memoriais descritivos, memoriais de cálculo, quantitativos, cronograma físico-financeiro, composições de custos, composição de BDI, especificações técnicas e demais documentos pertinentes;</w:t>
      </w:r>
    </w:p>
    <w:p w14:paraId="434A118F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Atender integralmente às disposições constantes do edital, contrato e Termo de Referência.</w:t>
      </w:r>
    </w:p>
    <w:p w14:paraId="0B9061C3" w14:textId="77777777" w:rsidR="00175C02" w:rsidRPr="002A56F8" w:rsidRDefault="00435FC7" w:rsidP="002A56F8">
      <w:pPr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>Escopo mínimo dos projetos (Arena Esportiva Multiuso)</w:t>
      </w:r>
    </w:p>
    <w:p w14:paraId="3D031BE7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Tendo em vista a natureza e a complexidade do empreendimento, os projetos deverão contemplar, no mínimo:</w:t>
      </w:r>
    </w:p>
    <w:p w14:paraId="3B52513F" w14:textId="77777777" w:rsidR="00175C02" w:rsidRPr="00737550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Sondagem SPT da área de implantação e levantamento topográfico planialtimétrico cadastral;</w:t>
      </w:r>
    </w:p>
    <w:p w14:paraId="5A724CA3" w14:textId="34AF0AD4" w:rsidR="00737550" w:rsidRPr="00737550" w:rsidRDefault="00737550" w:rsidP="00737550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737550">
        <w:rPr>
          <w:sz w:val="22"/>
          <w:szCs w:val="22"/>
        </w:rPr>
        <w:t xml:space="preserve">Seguir a </w:t>
      </w:r>
      <w:hyperlink r:id="rId7" w:tgtFrame="_blank" w:history="1">
        <w:r w:rsidRPr="00737550">
          <w:rPr>
            <w:rStyle w:val="Hyperlink"/>
            <w:color w:val="auto"/>
            <w:sz w:val="22"/>
            <w:szCs w:val="22"/>
            <w:u w:val="none"/>
          </w:rPr>
          <w:t>OT – IBR 008/2020 – Projeto Executivo</w:t>
        </w:r>
      </w:hyperlink>
      <w:r w:rsidRPr="00737550">
        <w:rPr>
          <w:sz w:val="22"/>
          <w:szCs w:val="22"/>
        </w:rPr>
        <w:t xml:space="preserve"> </w:t>
      </w:r>
      <w:proofErr w:type="gramStart"/>
      <w:r w:rsidRPr="00737550">
        <w:rPr>
          <w:sz w:val="22"/>
          <w:szCs w:val="22"/>
        </w:rPr>
        <w:t>da  IBRAOP</w:t>
      </w:r>
      <w:proofErr w:type="gramEnd"/>
      <w:r w:rsidRPr="00737550">
        <w:rPr>
          <w:sz w:val="22"/>
          <w:szCs w:val="22"/>
        </w:rPr>
        <w:t xml:space="preserve"> (Instituto Brasileiro de Auditoria de Obras Públicas).</w:t>
      </w:r>
    </w:p>
    <w:p w14:paraId="6003C00B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737550">
        <w:rPr>
          <w:rFonts w:eastAsia="Arial"/>
          <w:sz w:val="22"/>
          <w:szCs w:val="22"/>
        </w:rPr>
        <w:t>Anteprojeto</w:t>
      </w:r>
      <w:r w:rsidRPr="002A56F8">
        <w:rPr>
          <w:rFonts w:eastAsia="Arial"/>
          <w:sz w:val="22"/>
          <w:szCs w:val="22"/>
        </w:rPr>
        <w:t xml:space="preserve"> e projeto arquitetônico completo (implantação, plantas baixas de todos os pavimentos, cortes, elevações/fachadas, planta de cobertura e detalhamento de esquadrias), contemplando a quadra oficial (40,00m x 20,00m), arquibancada, vestiários (masculino, feminino e PNE), banheiros, salas de apoio/administrativas, depósitos e demais ambientes de apoio;</w:t>
      </w:r>
    </w:p>
    <w:p w14:paraId="0AEB3DE4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Projeto de acessibilidade, em conformidade com a NBR 9050 e a legislação aplicável;</w:t>
      </w:r>
    </w:p>
    <w:p w14:paraId="7DB209C6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lastRenderedPageBreak/>
        <w:t>Projeto estrutural (fundações e superestrutura em concreto armado e/ou estrutura metálica de cobertura), com memorial de cálculo;</w:t>
      </w:r>
    </w:p>
    <w:p w14:paraId="322DE8BE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Projetos complementares: instalações elétricas e luminotécnicas (incluindo iluminação da quadra e SPDA), instalações hidrossanitárias, instalações pluviais e, quando aplicável, climatização;</w:t>
      </w:r>
    </w:p>
    <w:p w14:paraId="26468596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Projeto de prevenção e combate a incêndio e pânico (PPCI), com encaminhamento para aprovação junto ao Corpo de Bombeiros Militar;</w:t>
      </w:r>
    </w:p>
    <w:p w14:paraId="7A7F86AF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Projeto executivo, compatibilizado entre todas as disciplinas;</w:t>
      </w:r>
    </w:p>
    <w:p w14:paraId="095ED473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Renderização/maquete eletrônica do projeto (mínimo de 3 imagens);</w:t>
      </w:r>
    </w:p>
    <w:p w14:paraId="1608F069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Memorial descritivo e memoriais de cálculo de todas as disciplinas;</w:t>
      </w:r>
    </w:p>
    <w:p w14:paraId="6FFB9B32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Quantitativos, cronograma físico-financeiro e planilhas orçamentárias com e sem BDI, com respectiva composição de BDI;</w:t>
      </w:r>
    </w:p>
    <w:p w14:paraId="227DD011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Apoio técnico para protocolo e obtenção de aprovações junto aos órgãos competentes, quando previsto no escopo contratado.</w:t>
      </w:r>
    </w:p>
    <w:p w14:paraId="4FA3DC3D" w14:textId="77777777" w:rsidR="00175C02" w:rsidRPr="002A56F8" w:rsidRDefault="00435FC7" w:rsidP="002A56F8">
      <w:pPr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>Normas e Referências Técnicas</w:t>
      </w:r>
    </w:p>
    <w:p w14:paraId="5C44F59D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Na elaboração dos serviços deverão ser observadas, quando aplicáveis, as seguintes normas e referências técnicas:</w:t>
      </w:r>
    </w:p>
    <w:p w14:paraId="5C8F5FA0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Código de Obras e legislação urbanística do Município de Palmitos/SC;</w:t>
      </w:r>
    </w:p>
    <w:p w14:paraId="035463EE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Legislação ambiental federal, estadual e municipal;</w:t>
      </w:r>
    </w:p>
    <w:p w14:paraId="578A5D07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Normas e exigências das concessionárias de serviços públicos e dos órgãos de fiscalização competentes, inclusive do Corpo de Bombeiros;</w:t>
      </w:r>
    </w:p>
    <w:p w14:paraId="721FBEE4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Normas Técnicas da ABNT vigentes aplicáveis ao objeto, especialmente a NBR 9050 (acessibilidade) e as normas técnicas relativas a quadras esportivas oficiais;</w:t>
      </w:r>
    </w:p>
    <w:p w14:paraId="46EB3081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Normativos técnicos eventualmente exigidos por programas, convênios ou fontes de recursos vinculadas à futura execução da obra;</w:t>
      </w:r>
    </w:p>
    <w:p w14:paraId="47B0B27C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Sistema Nacional de Pesquisa de Custos e Índices da Construção Civil – SINAPI;</w:t>
      </w:r>
    </w:p>
    <w:p w14:paraId="60BC0EEB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Sistema de Custos Referenciais de Obras – SICRO, quando aplicável;</w:t>
      </w:r>
    </w:p>
    <w:p w14:paraId="29953F57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Demais legislações, regulamentos e normas técnicas pertinentes ao objeto.</w:t>
      </w:r>
    </w:p>
    <w:p w14:paraId="5DABAAA5" w14:textId="77777777" w:rsidR="00175C02" w:rsidRPr="002A56F8" w:rsidRDefault="00435FC7" w:rsidP="002A56F8">
      <w:pPr>
        <w:jc w:val="both"/>
        <w:rPr>
          <w:rFonts w:eastAsia="Arial"/>
          <w:sz w:val="22"/>
          <w:szCs w:val="22"/>
        </w:rPr>
      </w:pPr>
      <w:r w:rsidRPr="002A56F8">
        <w:rPr>
          <w:rFonts w:eastAsia="Arial"/>
          <w:sz w:val="22"/>
          <w:szCs w:val="22"/>
        </w:rPr>
        <w:t>Na inexistência de referência adequada em sistemas oficiais de custos, poderá ser utilizada composição própria, desde que tecnicamente justificada, acompanhada das respectivas memórias de cálculo e documentos comprobatórios.</w:t>
      </w:r>
    </w:p>
    <w:p w14:paraId="1DBE6511" w14:textId="77777777" w:rsidR="002316B0" w:rsidRPr="002A56F8" w:rsidRDefault="002316B0" w:rsidP="002A56F8">
      <w:pPr>
        <w:jc w:val="both"/>
        <w:rPr>
          <w:rFonts w:eastAsia="Arial"/>
          <w:sz w:val="22"/>
          <w:szCs w:val="22"/>
        </w:rPr>
      </w:pPr>
    </w:p>
    <w:p w14:paraId="2C3810F2" w14:textId="77777777" w:rsidR="002316B0" w:rsidRPr="002A56F8" w:rsidRDefault="002316B0" w:rsidP="002A56F8">
      <w:pPr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>DESCRITIVO DO QUE SE ESPERA DO PROJETO</w:t>
      </w:r>
    </w:p>
    <w:p w14:paraId="7DEEF099" w14:textId="77777777" w:rsidR="002316B0" w:rsidRPr="002A56F8" w:rsidRDefault="002316B0" w:rsidP="002A56F8">
      <w:pPr>
        <w:jc w:val="both"/>
        <w:rPr>
          <w:sz w:val="22"/>
          <w:szCs w:val="22"/>
        </w:rPr>
      </w:pPr>
      <w:r w:rsidRPr="002A56F8">
        <w:rPr>
          <w:sz w:val="22"/>
          <w:szCs w:val="22"/>
        </w:rPr>
        <w:t xml:space="preserve">A </w:t>
      </w:r>
      <w:r w:rsidRPr="002A56F8">
        <w:rPr>
          <w:b/>
          <w:bCs/>
          <w:sz w:val="22"/>
          <w:szCs w:val="22"/>
        </w:rPr>
        <w:t>Arena Palmitos</w:t>
      </w:r>
      <w:r w:rsidRPr="002A56F8">
        <w:rPr>
          <w:sz w:val="22"/>
          <w:szCs w:val="22"/>
        </w:rPr>
        <w:t xml:space="preserve"> é concebida como um equipamento público poliesportivo contemporâneo, destinado prioritariamente à prática de </w:t>
      </w:r>
      <w:r w:rsidRPr="002A56F8">
        <w:rPr>
          <w:b/>
          <w:bCs/>
          <w:sz w:val="22"/>
          <w:szCs w:val="22"/>
        </w:rPr>
        <w:t>futsal</w:t>
      </w:r>
      <w:r w:rsidRPr="002A56F8">
        <w:rPr>
          <w:sz w:val="22"/>
          <w:szCs w:val="22"/>
        </w:rPr>
        <w:t>, eventos esportivos, competições e atividades de interesse da comunidade. A proposta busca unir funcionalidade, identidade arquitetônica e conforto ao público, criando um edifício de referência para o Município.</w:t>
      </w:r>
    </w:p>
    <w:p w14:paraId="529111DF" w14:textId="77777777" w:rsidR="002316B0" w:rsidRPr="002A56F8" w:rsidRDefault="002316B0" w:rsidP="002A56F8">
      <w:pPr>
        <w:jc w:val="both"/>
        <w:rPr>
          <w:sz w:val="22"/>
          <w:szCs w:val="22"/>
        </w:rPr>
      </w:pPr>
      <w:r w:rsidRPr="002A56F8">
        <w:rPr>
          <w:sz w:val="22"/>
          <w:szCs w:val="22"/>
        </w:rPr>
        <w:t xml:space="preserve">A edificação possui implantação predominantemente </w:t>
      </w:r>
      <w:r w:rsidRPr="002A56F8">
        <w:rPr>
          <w:b/>
          <w:bCs/>
          <w:sz w:val="22"/>
          <w:szCs w:val="22"/>
        </w:rPr>
        <w:t>retangular, com dimensões conceituais aproximadas de 80,00 x 50,00 metros</w:t>
      </w:r>
      <w:r w:rsidRPr="002A56F8">
        <w:rPr>
          <w:sz w:val="22"/>
          <w:szCs w:val="22"/>
        </w:rPr>
        <w:t xml:space="preserve">, adotando uma volumetria compacta e de leitura marcante. As extremidades e os cantos recebem tratamentos arquitetônicos diferenciados, com elementos verticais, recuos, planos metálicos e iluminação linear, quebrando a rigidez do volume retangular e conferindo ao conjunto uma linguagem característica de </w:t>
      </w:r>
      <w:r w:rsidRPr="002A56F8">
        <w:rPr>
          <w:b/>
          <w:bCs/>
          <w:sz w:val="22"/>
          <w:szCs w:val="22"/>
        </w:rPr>
        <w:t>arena esportiva</w:t>
      </w:r>
      <w:r w:rsidRPr="002A56F8">
        <w:rPr>
          <w:sz w:val="22"/>
          <w:szCs w:val="22"/>
        </w:rPr>
        <w:t>.</w:t>
      </w:r>
    </w:p>
    <w:p w14:paraId="22676E42" w14:textId="77777777" w:rsidR="002316B0" w:rsidRPr="002A56F8" w:rsidRDefault="002316B0" w:rsidP="002A56F8">
      <w:pPr>
        <w:jc w:val="both"/>
        <w:rPr>
          <w:sz w:val="22"/>
          <w:szCs w:val="22"/>
        </w:rPr>
      </w:pPr>
      <w:r w:rsidRPr="002A56F8">
        <w:rPr>
          <w:sz w:val="22"/>
          <w:szCs w:val="22"/>
        </w:rPr>
        <w:t xml:space="preserve">A fachada principal é marcada por um grande acesso central, protegido por </w:t>
      </w:r>
      <w:r w:rsidRPr="002A56F8">
        <w:rPr>
          <w:b/>
          <w:bCs/>
          <w:sz w:val="22"/>
          <w:szCs w:val="22"/>
        </w:rPr>
        <w:t>marquise</w:t>
      </w:r>
      <w:r w:rsidRPr="002A56F8">
        <w:rPr>
          <w:sz w:val="22"/>
          <w:szCs w:val="22"/>
        </w:rPr>
        <w:t xml:space="preserve">, com fechamento envidraçado e composição que permite visualizar o movimento interno da arena. Escadarias amplas organizam o fluxo principal de espectadores, acompanhadas de </w:t>
      </w:r>
      <w:r w:rsidRPr="002A56F8">
        <w:rPr>
          <w:b/>
          <w:bCs/>
          <w:sz w:val="22"/>
          <w:szCs w:val="22"/>
        </w:rPr>
        <w:t>rampas acessíveis</w:t>
      </w:r>
      <w:r w:rsidRPr="002A56F8">
        <w:rPr>
          <w:sz w:val="22"/>
          <w:szCs w:val="22"/>
        </w:rPr>
        <w:t>, garantindo rotas independentes e adequadas às pessoas com mobilidade reduzida. O paisagismo, a iluminação externa e as áreas pavimentadas complementam a entrada e criam uma praça de chegada e permanência.</w:t>
      </w:r>
    </w:p>
    <w:p w14:paraId="74FD9012" w14:textId="77777777" w:rsidR="002316B0" w:rsidRPr="002A56F8" w:rsidRDefault="002316B0" w:rsidP="002A56F8">
      <w:pPr>
        <w:jc w:val="both"/>
        <w:rPr>
          <w:sz w:val="22"/>
          <w:szCs w:val="22"/>
        </w:rPr>
      </w:pPr>
      <w:r w:rsidRPr="002A56F8">
        <w:rPr>
          <w:sz w:val="22"/>
          <w:szCs w:val="22"/>
        </w:rPr>
        <w:t xml:space="preserve">Externamente, predominam revestimentos metálicos em </w:t>
      </w:r>
      <w:r w:rsidRPr="002A56F8">
        <w:rPr>
          <w:b/>
          <w:bCs/>
          <w:sz w:val="22"/>
          <w:szCs w:val="22"/>
        </w:rPr>
        <w:t>cinza-escuro, grafite e azul-acinzentado</w:t>
      </w:r>
      <w:r w:rsidRPr="002A56F8">
        <w:rPr>
          <w:sz w:val="22"/>
          <w:szCs w:val="22"/>
        </w:rPr>
        <w:t xml:space="preserve">, combinados com elementos verticais e superfícies de diferentes profundidades. Um </w:t>
      </w:r>
      <w:r w:rsidRPr="002A56F8">
        <w:rPr>
          <w:b/>
          <w:bCs/>
          <w:sz w:val="22"/>
          <w:szCs w:val="22"/>
        </w:rPr>
        <w:t>friso contínuo de iluminação em LED</w:t>
      </w:r>
      <w:r w:rsidRPr="002A56F8">
        <w:rPr>
          <w:sz w:val="22"/>
          <w:szCs w:val="22"/>
        </w:rPr>
        <w:t xml:space="preserve"> acompanha partes da cobertura e das fachadas, valorizando a volumetria durante o </w:t>
      </w:r>
      <w:r w:rsidRPr="002A56F8">
        <w:rPr>
          <w:sz w:val="22"/>
          <w:szCs w:val="22"/>
        </w:rPr>
        <w:lastRenderedPageBreak/>
        <w:t>período noturno. A cobertura de grande vão apresenta desenho suavemente curvo nas extremidades, conciliando a característica funcional de um ginásio com uma aparência mais próxima de uma arena contemporânea.</w:t>
      </w:r>
    </w:p>
    <w:p w14:paraId="3E8D0849" w14:textId="77777777" w:rsidR="002316B0" w:rsidRPr="002A56F8" w:rsidRDefault="002316B0" w:rsidP="002A56F8">
      <w:pPr>
        <w:jc w:val="both"/>
        <w:rPr>
          <w:sz w:val="22"/>
          <w:szCs w:val="22"/>
        </w:rPr>
      </w:pPr>
      <w:r w:rsidRPr="002A56F8">
        <w:rPr>
          <w:sz w:val="22"/>
          <w:szCs w:val="22"/>
        </w:rPr>
        <w:t xml:space="preserve">Internamente, o espaço é organizado a partir de uma </w:t>
      </w:r>
      <w:r w:rsidRPr="002A56F8">
        <w:rPr>
          <w:b/>
          <w:bCs/>
          <w:sz w:val="22"/>
          <w:szCs w:val="22"/>
        </w:rPr>
        <w:t>quadra oficial de futsal</w:t>
      </w:r>
      <w:r w:rsidRPr="002A56F8">
        <w:rPr>
          <w:sz w:val="22"/>
          <w:szCs w:val="22"/>
        </w:rPr>
        <w:t xml:space="preserve">, posicionada no centro da edificação e circundada por arquibancadas próximas à área de jogo. Essa proximidade busca proporcionar melhor visibilidade e uma atmosfera mais intensa durante as competições. A capacidade estimada é de aproximadamente </w:t>
      </w:r>
      <w:r w:rsidRPr="002A56F8">
        <w:rPr>
          <w:b/>
          <w:bCs/>
          <w:sz w:val="22"/>
          <w:szCs w:val="22"/>
        </w:rPr>
        <w:t>1.200 espectadores</w:t>
      </w:r>
      <w:r w:rsidRPr="002A56F8">
        <w:rPr>
          <w:sz w:val="22"/>
          <w:szCs w:val="22"/>
        </w:rPr>
        <w:t>, distribuídos de forma a preservar corredores, acessos, saídas e espaços reservados para pessoas com deficiência ou mobilidade reduzida.</w:t>
      </w:r>
    </w:p>
    <w:p w14:paraId="4383BB33" w14:textId="77777777" w:rsidR="002316B0" w:rsidRPr="002A56F8" w:rsidRDefault="002316B0" w:rsidP="002A56F8">
      <w:pPr>
        <w:jc w:val="both"/>
        <w:rPr>
          <w:sz w:val="22"/>
          <w:szCs w:val="22"/>
        </w:rPr>
      </w:pPr>
      <w:r w:rsidRPr="002A56F8">
        <w:rPr>
          <w:sz w:val="22"/>
          <w:szCs w:val="22"/>
        </w:rPr>
        <w:t xml:space="preserve">Os espaços de apoio são aproveitados principalmente </w:t>
      </w:r>
      <w:r w:rsidRPr="002A56F8">
        <w:rPr>
          <w:b/>
          <w:bCs/>
          <w:sz w:val="22"/>
          <w:szCs w:val="22"/>
        </w:rPr>
        <w:t>em baixo e atrás das arquibancadas</w:t>
      </w:r>
      <w:r w:rsidRPr="002A56F8">
        <w:rPr>
          <w:sz w:val="22"/>
          <w:szCs w:val="22"/>
        </w:rPr>
        <w:t xml:space="preserve">, evitando corredores excessivos ou ambientes aparentes voltados diretamente para a quadra. O programa conceitual contempla </w:t>
      </w:r>
      <w:r w:rsidRPr="002A56F8">
        <w:rPr>
          <w:b/>
          <w:bCs/>
          <w:sz w:val="22"/>
          <w:szCs w:val="22"/>
        </w:rPr>
        <w:t>quatro vestiários, sendo dois de cada lado</w:t>
      </w:r>
      <w:r w:rsidRPr="002A56F8">
        <w:rPr>
          <w:sz w:val="22"/>
          <w:szCs w:val="22"/>
        </w:rPr>
        <w:t>, além de espaços para arbitragem, depósito de materiais esportivos, almoxarifado, sala técnica, salas administrativas e de reunião, sala multiuso, sala de imprensa, copa e demais ambientes necessários ao funcionamento da arena.</w:t>
      </w:r>
    </w:p>
    <w:p w14:paraId="2FB175D6" w14:textId="77777777" w:rsidR="002316B0" w:rsidRPr="002A56F8" w:rsidRDefault="002316B0" w:rsidP="002A56F8">
      <w:pPr>
        <w:jc w:val="both"/>
        <w:rPr>
          <w:sz w:val="22"/>
          <w:szCs w:val="22"/>
        </w:rPr>
      </w:pPr>
      <w:r w:rsidRPr="002A56F8">
        <w:rPr>
          <w:sz w:val="22"/>
          <w:szCs w:val="22"/>
        </w:rPr>
        <w:t xml:space="preserve">Os </w:t>
      </w:r>
      <w:r w:rsidRPr="002A56F8">
        <w:rPr>
          <w:b/>
          <w:bCs/>
          <w:sz w:val="22"/>
          <w:szCs w:val="22"/>
        </w:rPr>
        <w:t>banheiros públicos</w:t>
      </w:r>
      <w:r w:rsidRPr="002A56F8">
        <w:rPr>
          <w:sz w:val="22"/>
          <w:szCs w:val="22"/>
        </w:rPr>
        <w:t xml:space="preserve"> são distribuídos estrategicamente junto às áreas de circulação dos espectadores, evitando interferência nos fluxos de atletas e equipes. Vestiários e áreas técnicas possuem circulação própria ou controlada, permitindo separar, sempre que possível, os fluxos de </w:t>
      </w:r>
      <w:r w:rsidRPr="002A56F8">
        <w:rPr>
          <w:b/>
          <w:bCs/>
          <w:sz w:val="22"/>
          <w:szCs w:val="22"/>
        </w:rPr>
        <w:t>público, atletas, arbitragem, funcionários e serviços</w:t>
      </w:r>
      <w:r w:rsidRPr="002A56F8">
        <w:rPr>
          <w:sz w:val="22"/>
          <w:szCs w:val="22"/>
        </w:rPr>
        <w:t>.</w:t>
      </w:r>
    </w:p>
    <w:p w14:paraId="46025235" w14:textId="77777777" w:rsidR="002316B0" w:rsidRPr="002A56F8" w:rsidRDefault="002316B0" w:rsidP="002A56F8">
      <w:pPr>
        <w:jc w:val="both"/>
        <w:rPr>
          <w:sz w:val="22"/>
          <w:szCs w:val="22"/>
        </w:rPr>
      </w:pPr>
      <w:r w:rsidRPr="002A56F8">
        <w:rPr>
          <w:sz w:val="22"/>
          <w:szCs w:val="22"/>
        </w:rPr>
        <w:t xml:space="preserve">A acessibilidade é tratada como elemento integrante do projeto arquitetônico, com </w:t>
      </w:r>
      <w:r w:rsidRPr="002A56F8">
        <w:rPr>
          <w:b/>
          <w:bCs/>
          <w:sz w:val="22"/>
          <w:szCs w:val="22"/>
        </w:rPr>
        <w:t>rampas nas entradas, rotas acessíveis contínuas, piso tátil, corrimãos, sanitários adaptados e espaços reservados nas arquibancadas</w:t>
      </w:r>
      <w:r w:rsidRPr="002A56F8">
        <w:rPr>
          <w:sz w:val="22"/>
          <w:szCs w:val="22"/>
        </w:rPr>
        <w:t>, posicionados de maneira a proporcionar boa visualização da quadra e integração com os demais espectadores.</w:t>
      </w:r>
    </w:p>
    <w:p w14:paraId="62188F52" w14:textId="77777777" w:rsidR="002316B0" w:rsidRPr="002A56F8" w:rsidRDefault="002316B0" w:rsidP="002A56F8">
      <w:pPr>
        <w:jc w:val="both"/>
        <w:rPr>
          <w:sz w:val="22"/>
          <w:szCs w:val="22"/>
        </w:rPr>
      </w:pPr>
      <w:r w:rsidRPr="002A56F8">
        <w:rPr>
          <w:sz w:val="22"/>
          <w:szCs w:val="22"/>
        </w:rPr>
        <w:t xml:space="preserve">A estrutura da cobertura deverá permitir </w:t>
      </w:r>
      <w:r w:rsidRPr="002A56F8">
        <w:rPr>
          <w:b/>
          <w:bCs/>
          <w:sz w:val="22"/>
          <w:szCs w:val="22"/>
        </w:rPr>
        <w:t>grandes vãos livres</w:t>
      </w:r>
      <w:r w:rsidRPr="002A56F8">
        <w:rPr>
          <w:sz w:val="22"/>
          <w:szCs w:val="22"/>
        </w:rPr>
        <w:t>, evitando pilares que prejudiquem a visualização da quadra. Conceitualmente, prevê-se estrutura metálica associada a sistemas de cobertura termoacústica, iluminação esportiva de alto desempenho e soluções de ventilação e conforto ambiental compatíveis com a utilização do espaço por grandes públicos.</w:t>
      </w:r>
    </w:p>
    <w:p w14:paraId="633F3559" w14:textId="77777777" w:rsidR="002316B0" w:rsidRPr="002A56F8" w:rsidRDefault="002316B0" w:rsidP="002A56F8">
      <w:pPr>
        <w:jc w:val="both"/>
        <w:rPr>
          <w:sz w:val="22"/>
          <w:szCs w:val="22"/>
        </w:rPr>
      </w:pPr>
      <w:r w:rsidRPr="002A56F8">
        <w:rPr>
          <w:sz w:val="22"/>
          <w:szCs w:val="22"/>
        </w:rPr>
        <w:t xml:space="preserve">O resultado pretendido é uma arena </w:t>
      </w:r>
      <w:r w:rsidRPr="002A56F8">
        <w:rPr>
          <w:b/>
          <w:bCs/>
          <w:sz w:val="22"/>
          <w:szCs w:val="22"/>
        </w:rPr>
        <w:t>compacta, funcional e arquitetonicamente marcante</w:t>
      </w:r>
      <w:r w:rsidRPr="002A56F8">
        <w:rPr>
          <w:sz w:val="22"/>
          <w:szCs w:val="22"/>
        </w:rPr>
        <w:t>, cuja aparência externa comunique imediatamente seu caráter esportivo, ao mesmo tempo em que sua organização interna privilegie a proximidade das arquibancadas com a quadra, a eficiência dos fluxos, a acessibilidade e o aproveitamento racional dos espaços de apoio.</w:t>
      </w:r>
    </w:p>
    <w:p w14:paraId="0AEE7B24" w14:textId="77777777" w:rsidR="002316B0" w:rsidRPr="002A56F8" w:rsidRDefault="002316B0" w:rsidP="002A56F8">
      <w:pPr>
        <w:jc w:val="both"/>
        <w:rPr>
          <w:sz w:val="22"/>
          <w:szCs w:val="22"/>
        </w:rPr>
      </w:pPr>
    </w:p>
    <w:p w14:paraId="79F6C574" w14:textId="77777777" w:rsidR="00175C02" w:rsidRPr="002A56F8" w:rsidRDefault="00435FC7" w:rsidP="002A56F8">
      <w:pPr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>Orçamento e Composição de Custos</w:t>
      </w:r>
    </w:p>
    <w:p w14:paraId="0B01E7E2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Todos os serviços necessários à execução futura do empreendimento deverão ser devidamente quantificados e demonstrados em memorial de cálculo, devendo constar das planilhas orçamentárias. Os custos deverão ser obtidos preferencialmente por meio das bases oficiais de referência vigentes, especialmente SINAPI e SICRO, observando-se as recomendações dos órgãos de controle e a metodologia adotada para elaboração de orçamentos de obras públicas. A composição do BDI deverá ser apresentada de forma detalhada e fundamentada.</w:t>
      </w:r>
    </w:p>
    <w:p w14:paraId="63297C93" w14:textId="77777777" w:rsidR="00175C02" w:rsidRPr="002A56F8" w:rsidRDefault="00435FC7" w:rsidP="002A56F8">
      <w:pPr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>Reuniões Técnicas e Visitas</w:t>
      </w:r>
    </w:p>
    <w:p w14:paraId="499D0B70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A contratada deverá realizar as visitas técnicas necessárias ao adequado desenvolvimento dos projetos, assumindo inteira responsabilidade pelo conhecimento das condições locais. Deverão ser realizadas, no mínimo, duas reuniões técnicas com a Administração Municipal durante a elaboração dos projetos, preferencialmente presenciais, admitindo-se videoconferência quando previamente autorizada pela Administração. As reuniões deverão ser registradas em ata ou relatório técnico.</w:t>
      </w:r>
    </w:p>
    <w:p w14:paraId="28CCA114" w14:textId="77777777" w:rsidR="00175C02" w:rsidRPr="002A56F8" w:rsidRDefault="00435FC7" w:rsidP="002A56F8">
      <w:pPr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>Sustentabilidade e Eficiência</w:t>
      </w:r>
    </w:p>
    <w:p w14:paraId="4D4C4A7E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As soluções propostas deverão priorizar: racionalização de custos; durabilidade dos materiais e sistemas; eficiência energética, quando aplicável; acessibilidade; redução dos impactos ambientais; e facilidade de operação e manutenção futura.</w:t>
      </w:r>
    </w:p>
    <w:p w14:paraId="02D28F88" w14:textId="77777777" w:rsidR="00175C02" w:rsidRPr="002A56F8" w:rsidRDefault="00435FC7" w:rsidP="002A56F8">
      <w:pPr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>Aprovações e Licenciamentos</w:t>
      </w:r>
    </w:p>
    <w:p w14:paraId="62D8FA05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lastRenderedPageBreak/>
        <w:t>Quando previsto no escopo contratado, a contratada deverá promover os protocolos e prestar apoio técnico para obtenção das aprovações junto aos órgãos competentes, inclusive Corpo de Bombeiros. Eventuais adequações exigidas pelos órgãos de análise deverão ser realizadas sem ônus adicional para a Administração, desde que relacionadas ao objeto originalmente contratado.</w:t>
      </w:r>
    </w:p>
    <w:p w14:paraId="38FC72B4" w14:textId="77777777" w:rsidR="00175C02" w:rsidRPr="002A56F8" w:rsidRDefault="00435FC7" w:rsidP="002A56F8">
      <w:pPr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>Suporte Técnico</w:t>
      </w:r>
    </w:p>
    <w:p w14:paraId="47C9288D" w14:textId="77777777" w:rsidR="00175C02" w:rsidRDefault="00435FC7" w:rsidP="002A56F8">
      <w:pPr>
        <w:jc w:val="both"/>
        <w:rPr>
          <w:rFonts w:eastAsia="Arial"/>
          <w:sz w:val="22"/>
          <w:szCs w:val="22"/>
        </w:rPr>
      </w:pPr>
      <w:r w:rsidRPr="002A56F8">
        <w:rPr>
          <w:rFonts w:eastAsia="Arial"/>
          <w:sz w:val="22"/>
          <w:szCs w:val="22"/>
        </w:rPr>
        <w:t>A contratada deverá prestar esclarecimentos técnicos relativos aos projetos, memoriais, quantitativos e orçamentos elaborados, sempre que solicitado pela Administração, durante a vigência contratual e até o recebimento definitivo dos serviços, inclusive quanto à futura licitação da obra. Não estão incluídas no objeto as taxas eventualmente cobradas por órgãos públicos para análise, aprovação ou licenciamento dos projetos.</w:t>
      </w:r>
    </w:p>
    <w:p w14:paraId="4A4624EE" w14:textId="77777777" w:rsidR="005748E4" w:rsidRPr="002A56F8" w:rsidRDefault="005748E4" w:rsidP="002A56F8">
      <w:pPr>
        <w:jc w:val="both"/>
        <w:rPr>
          <w:sz w:val="22"/>
          <w:szCs w:val="22"/>
        </w:rPr>
      </w:pPr>
    </w:p>
    <w:p w14:paraId="0B2575CE" w14:textId="77777777" w:rsidR="00175C02" w:rsidRPr="002A56F8" w:rsidRDefault="00435FC7" w:rsidP="002A56F8">
      <w:pPr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  <w:u w:val="single"/>
        </w:rPr>
        <w:t>4. Levantamento de mercado, análise das alternativas possíveis e justificativa técnica e econômica da escolha do tipo de solução a contratar</w:t>
      </w:r>
    </w:p>
    <w:p w14:paraId="37250560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Para definição da solução mais adequada ao atendimento da necessidade administrativa, procedeu-se ao levantamento de mercado com o objetivo de identificar as alternativas disponíveis para viabilizar a elaboração dos projetos técnicos necessários à construção da Arena Esportiva Multiuso do Município de Palmitos/SC.</w:t>
      </w:r>
    </w:p>
    <w:p w14:paraId="224C0DCB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Verificou-se a existência de empresas e profissionais especializados aptos à execução dos serviços pretendidos, tendo sido examinados, ainda, editais de outros Municípios para contratações de objeto semelhante — a exemplo do Termo de Referência da Prefeitura Municipal de Portão/RS para elaboração de projeto executivo de ginásio poliesportivo e complexo esportivo, e de processos de dispensa e concorrência de Municípios paranaenses (Terra Boa, Realeza e Santo Antônio do Sudoeste) e do Rio Grande do Sul (São José do Ouro) para elaboração de projetos de arena/quadra esportiva — os quais confirmam a viabilidade e a praxe de mercado para esse tipo de contratação, bem como forneceram parâmetros técnicos e de composição de escopo utilizados na definição da solução ora adotada.</w:t>
      </w:r>
    </w:p>
    <w:p w14:paraId="5AB9D706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No exame das alternativas possíveis, foram consideradas as seguintes hipóteses:</w:t>
      </w:r>
    </w:p>
    <w:p w14:paraId="267AD673" w14:textId="77777777" w:rsidR="00175C02" w:rsidRPr="002A56F8" w:rsidRDefault="00435FC7" w:rsidP="002A56F8">
      <w:pPr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>a) Elaboração dos projetos por equipe própria do Município</w:t>
      </w:r>
    </w:p>
    <w:p w14:paraId="5181C860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Esta alternativa mostrou-se inadequada diante da necessidade de conhecimentos técnicos especializados, da multiplicidade de disciplinas envolvidas (arquitetura, estrutura, instalações, acessibilidade e incêndio), da exigência de responsabilidade técnica formal e da necessidade de dedicação específica para o desenvolvimento dos produtos técnicos com nível de detalhamento suficiente para subsidiar futura contratação da execução da obra.</w:t>
      </w:r>
    </w:p>
    <w:p w14:paraId="7AF0F977" w14:textId="77777777" w:rsidR="00175C02" w:rsidRPr="002A56F8" w:rsidRDefault="00435FC7" w:rsidP="002A56F8">
      <w:pPr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>b) Contratação separada de profissionais ou soluções fragmentadas por disciplina</w:t>
      </w:r>
    </w:p>
    <w:p w14:paraId="099F4E55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Embora tecnicamente possível, essa alternativa apresenta desvantagens relacionadas à compatibilização entre projetos, aumento da complexidade da gestão contratual, risco de divergências entre disciplinas e dificuldades na atribuição de responsabilidades técnicas.</w:t>
      </w:r>
    </w:p>
    <w:p w14:paraId="3F8CCF59" w14:textId="77777777" w:rsidR="00175C02" w:rsidRPr="002A56F8" w:rsidRDefault="00435FC7" w:rsidP="002A56F8">
      <w:pPr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>c) Contratação de profissional autônomo especializado</w:t>
      </w:r>
    </w:p>
    <w:p w14:paraId="17FB5337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A contratação de profissional autônomo poderia atender parcialmente à necessidade administrativa. Contudo, considerando a abrangência do objeto e a necessidade de integração entre diferentes disciplinas de engenharia e arquitetura, essa alternativa apresenta limitações operacionais e maior risco de insuficiência de recursos técnicos para atendimento integral da demanda.</w:t>
      </w:r>
    </w:p>
    <w:p w14:paraId="1FB41C34" w14:textId="77777777" w:rsidR="00175C02" w:rsidRPr="002A56F8" w:rsidRDefault="00435FC7" w:rsidP="002A56F8">
      <w:pPr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>d) Contratação de empresa especializada para elaboração integrada dos projetos e documentos técnicos</w:t>
      </w:r>
    </w:p>
    <w:p w14:paraId="5BAACBB5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Esta alternativa mostrou-se a mais adequada e vantajosa, por permitir a centralização da responsabilidade técnica, a compatibilização dos projetos, a padronização dos documentos, a integração das disciplinas envolvidas e maior eficiência no acompanhamento da execução contratual.</w:t>
      </w:r>
    </w:p>
    <w:p w14:paraId="4255D045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 xml:space="preserve">Do ponto de vista técnico, a contratação de empresa especializada apresenta-se como a solução mais apropriada, uma vez que o objeto demanda conhecimento específico em projetos arquitetônicos, estruturais, </w:t>
      </w:r>
      <w:r w:rsidRPr="002A56F8">
        <w:rPr>
          <w:rFonts w:eastAsia="Arial"/>
          <w:sz w:val="22"/>
          <w:szCs w:val="22"/>
        </w:rPr>
        <w:lastRenderedPageBreak/>
        <w:t>de acessibilidade, de incêndio e complementares, bem como capacidade para desenvolver documentos técnicos completos, compatibilizados e aptos a subsidiar futura licitação para execução da obra.</w:t>
      </w:r>
    </w:p>
    <w:p w14:paraId="7123C805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Sob o aspecto econômico, a solução escolhida também se mostra mais vantajosa, pois possibilita maior precisão na estimativa dos custos da futura obra, reduz riscos de retrabalho, falhas de compatibilização, alterações contratuais, paralisações e aditivos decorrentes de deficiências de projeto, contribuindo para maior eficiência na aplicação dos recursos públicos.</w:t>
      </w:r>
    </w:p>
    <w:p w14:paraId="04BD69AC" w14:textId="77777777" w:rsidR="00175C02" w:rsidRDefault="00435FC7" w:rsidP="002A56F8">
      <w:pPr>
        <w:jc w:val="both"/>
        <w:rPr>
          <w:rFonts w:eastAsia="Arial"/>
          <w:sz w:val="22"/>
          <w:szCs w:val="22"/>
        </w:rPr>
      </w:pPr>
      <w:r w:rsidRPr="002A56F8">
        <w:rPr>
          <w:rFonts w:eastAsia="Arial"/>
          <w:sz w:val="22"/>
          <w:szCs w:val="22"/>
        </w:rPr>
        <w:t>Diante do exposto, conclui-se que a contratação de empresa especializada para elaboração integrada dos projetos técnicos e documentos complementares constitui a alternativa tecnicamente mais adequada e economicamente mais vantajosa para a Administração, em conformidade com os princípios do planejamento, da eficiência e da economicidade previstos na Lei nº 14.133/2021.</w:t>
      </w:r>
    </w:p>
    <w:p w14:paraId="274DD6E9" w14:textId="77777777" w:rsidR="00144DA6" w:rsidRPr="002A56F8" w:rsidRDefault="00144DA6" w:rsidP="002A56F8">
      <w:pPr>
        <w:jc w:val="both"/>
        <w:rPr>
          <w:sz w:val="22"/>
          <w:szCs w:val="22"/>
        </w:rPr>
      </w:pPr>
    </w:p>
    <w:p w14:paraId="718B96B7" w14:textId="77777777" w:rsidR="00175C02" w:rsidRPr="002A56F8" w:rsidRDefault="00435FC7" w:rsidP="002A56F8">
      <w:pPr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  <w:u w:val="single"/>
        </w:rPr>
        <w:t>5. Estimativas das quantidades para a contratação, acompanhadas das memórias de cálculo e dos documentos que lhes dão suporte</w:t>
      </w:r>
    </w:p>
    <w:p w14:paraId="1321E345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A estimativa das quantidades foi definida com base na necessidade identificada pela Administração Municipal para a construção de 01 (uma) Arena Esportiva Multiuso, com área aproximada de 4.000,00 m² (80,00m x 50,00m), contemplando quadra oficial de 40,00m x 20,00m, cuja futura execução depende da prévia elaboração dos respectivos projetos técnicos.</w:t>
      </w:r>
    </w:p>
    <w:tbl>
      <w:tblPr>
        <w:tblW w:w="935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5850"/>
        <w:gridCol w:w="1300"/>
        <w:gridCol w:w="1300"/>
      </w:tblGrid>
      <w:tr w:rsidR="00175C02" w:rsidRPr="002A56F8" w14:paraId="6E80DD47" w14:textId="77777777"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75B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187A0D" w14:textId="77777777" w:rsidR="00175C02" w:rsidRPr="002A56F8" w:rsidRDefault="00435FC7" w:rsidP="002A56F8">
            <w:pPr>
              <w:jc w:val="center"/>
              <w:rPr>
                <w:sz w:val="22"/>
                <w:szCs w:val="22"/>
              </w:rPr>
            </w:pPr>
            <w:r w:rsidRPr="002A56F8">
              <w:rPr>
                <w:rFonts w:eastAsia="Arial"/>
                <w:b/>
                <w:bCs/>
                <w:color w:val="FFFFFF"/>
                <w:sz w:val="22"/>
                <w:szCs w:val="22"/>
              </w:rPr>
              <w:t>Item</w:t>
            </w:r>
          </w:p>
        </w:tc>
        <w:tc>
          <w:tcPr>
            <w:tcW w:w="5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75B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0F101A" w14:textId="77777777" w:rsidR="00175C02" w:rsidRPr="002A56F8" w:rsidRDefault="00435FC7" w:rsidP="002A56F8">
            <w:pPr>
              <w:jc w:val="center"/>
              <w:rPr>
                <w:sz w:val="22"/>
                <w:szCs w:val="22"/>
              </w:rPr>
            </w:pPr>
            <w:r w:rsidRPr="002A56F8">
              <w:rPr>
                <w:rFonts w:eastAsia="Arial"/>
                <w:b/>
                <w:bCs/>
                <w:color w:val="FFFFFF"/>
                <w:sz w:val="22"/>
                <w:szCs w:val="22"/>
              </w:rPr>
              <w:t>Descrição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75B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E984F3" w14:textId="77777777" w:rsidR="00175C02" w:rsidRPr="002A56F8" w:rsidRDefault="00435FC7" w:rsidP="002A56F8">
            <w:pPr>
              <w:jc w:val="center"/>
              <w:rPr>
                <w:sz w:val="22"/>
                <w:szCs w:val="22"/>
              </w:rPr>
            </w:pPr>
            <w:r w:rsidRPr="002A56F8">
              <w:rPr>
                <w:rFonts w:eastAsia="Arial"/>
                <w:b/>
                <w:bCs/>
                <w:color w:val="FFFFFF"/>
                <w:sz w:val="22"/>
                <w:szCs w:val="22"/>
              </w:rPr>
              <w:t>Unidade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75B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9E0709" w14:textId="77777777" w:rsidR="00175C02" w:rsidRPr="002A56F8" w:rsidRDefault="00435FC7" w:rsidP="002A56F8">
            <w:pPr>
              <w:jc w:val="center"/>
              <w:rPr>
                <w:sz w:val="22"/>
                <w:szCs w:val="22"/>
              </w:rPr>
            </w:pPr>
            <w:r w:rsidRPr="002A56F8">
              <w:rPr>
                <w:rFonts w:eastAsia="Arial"/>
                <w:b/>
                <w:bCs/>
                <w:color w:val="FFFFFF"/>
                <w:sz w:val="22"/>
                <w:szCs w:val="22"/>
              </w:rPr>
              <w:t>Quantidade</w:t>
            </w:r>
          </w:p>
        </w:tc>
      </w:tr>
      <w:tr w:rsidR="00175C02" w:rsidRPr="002A56F8" w14:paraId="35F5DE7D" w14:textId="77777777"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B5D40B" w14:textId="77777777" w:rsidR="00175C02" w:rsidRPr="002A56F8" w:rsidRDefault="00435FC7" w:rsidP="002A56F8">
            <w:pPr>
              <w:jc w:val="center"/>
              <w:rPr>
                <w:sz w:val="22"/>
                <w:szCs w:val="22"/>
              </w:rPr>
            </w:pPr>
            <w:r w:rsidRPr="002A56F8">
              <w:rPr>
                <w:rFonts w:eastAsia="Arial"/>
                <w:sz w:val="22"/>
                <w:szCs w:val="22"/>
              </w:rPr>
              <w:t>1</w:t>
            </w:r>
          </w:p>
        </w:tc>
        <w:tc>
          <w:tcPr>
            <w:tcW w:w="5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948F86" w14:textId="77777777" w:rsidR="00175C02" w:rsidRPr="002A56F8" w:rsidRDefault="00435FC7" w:rsidP="002A56F8">
            <w:pPr>
              <w:jc w:val="both"/>
              <w:rPr>
                <w:sz w:val="22"/>
                <w:szCs w:val="22"/>
              </w:rPr>
            </w:pPr>
            <w:r w:rsidRPr="002A56F8">
              <w:rPr>
                <w:rFonts w:eastAsia="Arial"/>
                <w:sz w:val="22"/>
                <w:szCs w:val="22"/>
              </w:rPr>
              <w:t>Elaboração de projetos de arquitetura e engenharia (arquitetônico, executivo, acessibilidade, estrutural, complementares, incêndio, orçamento, cronograma) para construção da Arena Esportiva Multiuso do Município de Palmitos/SC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52E63D" w14:textId="77777777" w:rsidR="00175C02" w:rsidRPr="002A56F8" w:rsidRDefault="00435FC7" w:rsidP="002A56F8">
            <w:pPr>
              <w:jc w:val="center"/>
              <w:rPr>
                <w:sz w:val="22"/>
                <w:szCs w:val="22"/>
              </w:rPr>
            </w:pPr>
            <w:r w:rsidRPr="002A56F8">
              <w:rPr>
                <w:rFonts w:eastAsia="Arial"/>
                <w:sz w:val="22"/>
                <w:szCs w:val="22"/>
              </w:rPr>
              <w:t>Unidade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5794D7" w14:textId="77777777" w:rsidR="00175C02" w:rsidRPr="002A56F8" w:rsidRDefault="00435FC7" w:rsidP="002A56F8">
            <w:pPr>
              <w:jc w:val="center"/>
              <w:rPr>
                <w:sz w:val="22"/>
                <w:szCs w:val="22"/>
              </w:rPr>
            </w:pPr>
            <w:r w:rsidRPr="002A56F8">
              <w:rPr>
                <w:rFonts w:eastAsia="Arial"/>
                <w:sz w:val="22"/>
                <w:szCs w:val="22"/>
              </w:rPr>
              <w:t>01</w:t>
            </w:r>
          </w:p>
        </w:tc>
      </w:tr>
    </w:tbl>
    <w:p w14:paraId="346527D8" w14:textId="77777777" w:rsidR="00175C02" w:rsidRPr="002A56F8" w:rsidRDefault="00175C02" w:rsidP="002A56F8">
      <w:pPr>
        <w:jc w:val="both"/>
        <w:rPr>
          <w:sz w:val="22"/>
          <w:szCs w:val="22"/>
        </w:rPr>
      </w:pPr>
    </w:p>
    <w:p w14:paraId="27B6596B" w14:textId="77777777" w:rsidR="00175C02" w:rsidRPr="002A56F8" w:rsidRDefault="00435FC7" w:rsidP="002A56F8">
      <w:pPr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>Memória de cálculo dos quantitativos</w:t>
      </w:r>
    </w:p>
    <w:p w14:paraId="19913072" w14:textId="3C8857B3" w:rsidR="00175C02" w:rsidRPr="002A56F8" w:rsidRDefault="00144DA6" w:rsidP="002A56F8">
      <w:pPr>
        <w:jc w:val="both"/>
        <w:rPr>
          <w:sz w:val="22"/>
          <w:szCs w:val="22"/>
        </w:rPr>
      </w:pPr>
      <w:r w:rsidRPr="00144DA6">
        <w:rPr>
          <w:rFonts w:eastAsia="Arial"/>
          <w:sz w:val="22"/>
          <w:szCs w:val="22"/>
        </w:rPr>
        <w:t>A quantidade estimada corresponde a 01 empreendimento, constituído por uma única Arena Esportiva Multiuso com área aproximada de 4.000 m². Os projetos arquitetônico, estrutural e complementares são interdependentes e deverão ser desenvolvidos de forma integrada e compatibilizada, razão pela qual a unidade de contratação é 01 projeto completo, não sendo tecnicamente viável o fracionamento em quantitativos independentes</w:t>
      </w:r>
      <w:r w:rsidR="00435FC7" w:rsidRPr="002A56F8">
        <w:rPr>
          <w:rFonts w:eastAsia="Arial"/>
          <w:sz w:val="22"/>
          <w:szCs w:val="22"/>
        </w:rPr>
        <w:t>.</w:t>
      </w:r>
    </w:p>
    <w:p w14:paraId="71FC3F55" w14:textId="77777777" w:rsidR="00175C02" w:rsidRPr="002A56F8" w:rsidRDefault="00435FC7" w:rsidP="002A56F8">
      <w:pPr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>Interdependência com outras contratações</w:t>
      </w:r>
    </w:p>
    <w:p w14:paraId="75168960" w14:textId="77777777" w:rsidR="00175C02" w:rsidRDefault="00435FC7" w:rsidP="002A56F8">
      <w:pPr>
        <w:jc w:val="both"/>
        <w:rPr>
          <w:rFonts w:eastAsia="Arial"/>
          <w:sz w:val="22"/>
          <w:szCs w:val="22"/>
        </w:rPr>
      </w:pPr>
      <w:r w:rsidRPr="002A56F8">
        <w:rPr>
          <w:rFonts w:eastAsia="Arial"/>
          <w:sz w:val="22"/>
          <w:szCs w:val="22"/>
        </w:rPr>
        <w:t>A presente contratação possui relação direta com futura contratação destinada à execução da obra que será definida pelos projetos ora contratados. Os documentos técnicos produzidos constituirão elemento indispensável para instrução da futura licitação de execução, fornecendo os subsídios necessários à definição do objeto, elaboração dos orçamentos, cronogramas e especificações técnicas.</w:t>
      </w:r>
    </w:p>
    <w:p w14:paraId="65B14035" w14:textId="77777777" w:rsidR="00144DA6" w:rsidRPr="002A56F8" w:rsidRDefault="00144DA6" w:rsidP="002A56F8">
      <w:pPr>
        <w:jc w:val="both"/>
        <w:rPr>
          <w:sz w:val="22"/>
          <w:szCs w:val="22"/>
        </w:rPr>
      </w:pPr>
    </w:p>
    <w:p w14:paraId="7CA11E7C" w14:textId="77777777" w:rsidR="00175C02" w:rsidRPr="002A56F8" w:rsidRDefault="00435FC7" w:rsidP="002A56F8">
      <w:pPr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  <w:u w:val="single"/>
        </w:rPr>
        <w:t>6. Estimativa do valor da contratação, acompanhada dos preços unitários referenciais, das memórias de cálculo e dos documentos que lhe dão suporte</w:t>
      </w:r>
    </w:p>
    <w:p w14:paraId="4C1B6991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A estimativa do valor da contratação foi elaborada em observância ao art. 23 da Lei nº 14.133/2021 e à Instrução Normativa SEGES/ME nº 65/2021, mediante pesquisa de preços realizada junto ao Banco Nacional de Preços/fontes públicas, para objeto de natureza e escopo equivalentes (elaboração de projetos de arquitetura e engenharia para construção de arena/quadra esportiva de grande porte).</w:t>
      </w:r>
    </w:p>
    <w:p w14:paraId="52ADB684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Foram coletados os seguintes preços, com destaque para o orçamento do Município de Santo Antônio do Sudoeste/PR, referente a objeto de área praticamente idêntica (4.000 m²) e escopo equivalente ao ora pretendido:</w:t>
      </w:r>
    </w:p>
    <w:tbl>
      <w:tblPr>
        <w:tblW w:w="943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5"/>
        <w:gridCol w:w="3563"/>
        <w:gridCol w:w="2409"/>
        <w:gridCol w:w="1163"/>
        <w:gridCol w:w="1178"/>
      </w:tblGrid>
      <w:tr w:rsidR="00175C02" w:rsidRPr="002A56F8" w14:paraId="3F27B029" w14:textId="77777777" w:rsidTr="00285915">
        <w:tc>
          <w:tcPr>
            <w:tcW w:w="112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75B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3FD3CC" w14:textId="77777777" w:rsidR="00175C02" w:rsidRPr="002A56F8" w:rsidRDefault="00435FC7" w:rsidP="002A56F8">
            <w:pPr>
              <w:jc w:val="center"/>
              <w:rPr>
                <w:sz w:val="22"/>
                <w:szCs w:val="22"/>
              </w:rPr>
            </w:pPr>
            <w:r w:rsidRPr="002A56F8">
              <w:rPr>
                <w:rFonts w:eastAsia="Arial"/>
                <w:b/>
                <w:bCs/>
                <w:color w:val="FFFFFF"/>
                <w:sz w:val="22"/>
                <w:szCs w:val="22"/>
              </w:rPr>
              <w:t>Nº</w:t>
            </w:r>
          </w:p>
        </w:tc>
        <w:tc>
          <w:tcPr>
            <w:tcW w:w="35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75B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AD1DE3" w14:textId="77777777" w:rsidR="00175C02" w:rsidRPr="002A56F8" w:rsidRDefault="00435FC7" w:rsidP="002A56F8">
            <w:pPr>
              <w:jc w:val="center"/>
              <w:rPr>
                <w:sz w:val="22"/>
                <w:szCs w:val="22"/>
              </w:rPr>
            </w:pPr>
            <w:r w:rsidRPr="002A56F8">
              <w:rPr>
                <w:rFonts w:eastAsia="Arial"/>
                <w:b/>
                <w:bCs/>
                <w:color w:val="FFFFFF"/>
                <w:sz w:val="22"/>
                <w:szCs w:val="22"/>
              </w:rPr>
              <w:t>Órgão / Fonte</w:t>
            </w: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75B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607325" w14:textId="77777777" w:rsidR="00175C02" w:rsidRPr="002A56F8" w:rsidRDefault="00435FC7" w:rsidP="002A56F8">
            <w:pPr>
              <w:jc w:val="center"/>
              <w:rPr>
                <w:sz w:val="22"/>
                <w:szCs w:val="22"/>
              </w:rPr>
            </w:pPr>
            <w:r w:rsidRPr="002A56F8">
              <w:rPr>
                <w:rFonts w:eastAsia="Arial"/>
                <w:b/>
                <w:bCs/>
                <w:color w:val="FFFFFF"/>
                <w:sz w:val="22"/>
                <w:szCs w:val="22"/>
              </w:rPr>
              <w:t>Identificação</w:t>
            </w:r>
          </w:p>
        </w:tc>
        <w:tc>
          <w:tcPr>
            <w:tcW w:w="11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75B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2E1893" w14:textId="77777777" w:rsidR="00175C02" w:rsidRPr="002A56F8" w:rsidRDefault="00435FC7" w:rsidP="002A56F8">
            <w:pPr>
              <w:jc w:val="center"/>
              <w:rPr>
                <w:sz w:val="22"/>
                <w:szCs w:val="22"/>
              </w:rPr>
            </w:pPr>
            <w:r w:rsidRPr="002A56F8">
              <w:rPr>
                <w:rFonts w:eastAsia="Arial"/>
                <w:b/>
                <w:bCs/>
                <w:color w:val="FFFFFF"/>
                <w:sz w:val="22"/>
                <w:szCs w:val="22"/>
              </w:rPr>
              <w:t>Data</w:t>
            </w:r>
          </w:p>
        </w:tc>
        <w:tc>
          <w:tcPr>
            <w:tcW w:w="11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75B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7199D7" w14:textId="77777777" w:rsidR="00175C02" w:rsidRPr="002A56F8" w:rsidRDefault="00435FC7" w:rsidP="002A56F8">
            <w:pPr>
              <w:jc w:val="center"/>
              <w:rPr>
                <w:sz w:val="22"/>
                <w:szCs w:val="22"/>
              </w:rPr>
            </w:pPr>
            <w:r w:rsidRPr="002A56F8">
              <w:rPr>
                <w:rFonts w:eastAsia="Arial"/>
                <w:b/>
                <w:bCs/>
                <w:color w:val="FFFFFF"/>
                <w:sz w:val="22"/>
                <w:szCs w:val="22"/>
              </w:rPr>
              <w:t>Valor (R$)</w:t>
            </w:r>
          </w:p>
        </w:tc>
      </w:tr>
      <w:tr w:rsidR="00175C02" w:rsidRPr="002A56F8" w14:paraId="334FB2C5" w14:textId="77777777" w:rsidTr="00285915">
        <w:tc>
          <w:tcPr>
            <w:tcW w:w="112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DF3AD" w14:textId="77777777" w:rsidR="00175C02" w:rsidRPr="002A56F8" w:rsidRDefault="00435FC7" w:rsidP="002A56F8">
            <w:pPr>
              <w:jc w:val="center"/>
              <w:rPr>
                <w:sz w:val="22"/>
                <w:szCs w:val="22"/>
              </w:rPr>
            </w:pPr>
            <w:r w:rsidRPr="002A56F8">
              <w:rPr>
                <w:rFonts w:eastAsia="Arial"/>
                <w:sz w:val="22"/>
                <w:szCs w:val="22"/>
              </w:rPr>
              <w:lastRenderedPageBreak/>
              <w:t>1</w:t>
            </w:r>
          </w:p>
        </w:tc>
        <w:tc>
          <w:tcPr>
            <w:tcW w:w="35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9A2B6E" w14:textId="77777777" w:rsidR="00175C02" w:rsidRPr="002A56F8" w:rsidRDefault="00435FC7" w:rsidP="002A56F8">
            <w:pPr>
              <w:rPr>
                <w:sz w:val="22"/>
                <w:szCs w:val="22"/>
              </w:rPr>
            </w:pPr>
            <w:r w:rsidRPr="002A56F8">
              <w:rPr>
                <w:rFonts w:eastAsia="Arial"/>
                <w:sz w:val="22"/>
                <w:szCs w:val="22"/>
              </w:rPr>
              <w:t>Município de Terra Boa/PR (Compras Governamentais – PNCP)</w:t>
            </w: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811745" w14:textId="77777777" w:rsidR="00175C02" w:rsidRPr="002A56F8" w:rsidRDefault="00435FC7" w:rsidP="002A56F8">
            <w:pPr>
              <w:rPr>
                <w:sz w:val="22"/>
                <w:szCs w:val="22"/>
              </w:rPr>
            </w:pPr>
            <w:r w:rsidRPr="002A56F8">
              <w:rPr>
                <w:rFonts w:eastAsia="Arial"/>
                <w:sz w:val="22"/>
                <w:szCs w:val="22"/>
              </w:rPr>
              <w:t>Concorrência Eletrônica 75793786000140-1-000217/2025</w:t>
            </w:r>
          </w:p>
        </w:tc>
        <w:tc>
          <w:tcPr>
            <w:tcW w:w="11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6672BA" w14:textId="77777777" w:rsidR="00175C02" w:rsidRPr="002A56F8" w:rsidRDefault="00435FC7" w:rsidP="002A56F8">
            <w:pPr>
              <w:jc w:val="center"/>
              <w:rPr>
                <w:sz w:val="22"/>
                <w:szCs w:val="22"/>
              </w:rPr>
            </w:pPr>
            <w:r w:rsidRPr="002A56F8">
              <w:rPr>
                <w:rFonts w:eastAsia="Arial"/>
                <w:sz w:val="22"/>
                <w:szCs w:val="22"/>
              </w:rPr>
              <w:t>14/11/2025</w:t>
            </w:r>
          </w:p>
        </w:tc>
        <w:tc>
          <w:tcPr>
            <w:tcW w:w="11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4C4069" w14:textId="77777777" w:rsidR="00175C02" w:rsidRPr="002A56F8" w:rsidRDefault="00435FC7" w:rsidP="002A56F8">
            <w:pPr>
              <w:jc w:val="right"/>
              <w:rPr>
                <w:sz w:val="22"/>
                <w:szCs w:val="22"/>
              </w:rPr>
            </w:pPr>
            <w:r w:rsidRPr="002A56F8">
              <w:rPr>
                <w:rFonts w:eastAsia="Arial"/>
                <w:sz w:val="22"/>
                <w:szCs w:val="22"/>
              </w:rPr>
              <w:t>120.000,00</w:t>
            </w:r>
          </w:p>
        </w:tc>
      </w:tr>
      <w:tr w:rsidR="00175C02" w:rsidRPr="002A56F8" w14:paraId="104EE543" w14:textId="77777777" w:rsidTr="00285915">
        <w:tc>
          <w:tcPr>
            <w:tcW w:w="112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89F301" w14:textId="77777777" w:rsidR="00175C02" w:rsidRPr="002A56F8" w:rsidRDefault="00435FC7" w:rsidP="002A56F8">
            <w:pPr>
              <w:jc w:val="center"/>
              <w:rPr>
                <w:sz w:val="22"/>
                <w:szCs w:val="22"/>
              </w:rPr>
            </w:pPr>
            <w:r w:rsidRPr="002A56F8">
              <w:rPr>
                <w:rFonts w:eastAsia="Arial"/>
                <w:sz w:val="22"/>
                <w:szCs w:val="22"/>
              </w:rPr>
              <w:t>2</w:t>
            </w:r>
          </w:p>
        </w:tc>
        <w:tc>
          <w:tcPr>
            <w:tcW w:w="35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3C331F" w14:textId="77777777" w:rsidR="00175C02" w:rsidRPr="002A56F8" w:rsidRDefault="00435FC7" w:rsidP="002A56F8">
            <w:pPr>
              <w:rPr>
                <w:sz w:val="22"/>
                <w:szCs w:val="22"/>
              </w:rPr>
            </w:pPr>
            <w:r w:rsidRPr="002A56F8">
              <w:rPr>
                <w:rFonts w:eastAsia="Arial"/>
                <w:sz w:val="22"/>
                <w:szCs w:val="22"/>
              </w:rPr>
              <w:t>PM de São José do Ouro/RS (TCE/RS)</w:t>
            </w: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820A39" w14:textId="77777777" w:rsidR="00175C02" w:rsidRPr="002A56F8" w:rsidRDefault="00435FC7" w:rsidP="002A56F8">
            <w:pPr>
              <w:rPr>
                <w:sz w:val="22"/>
                <w:szCs w:val="22"/>
              </w:rPr>
            </w:pPr>
            <w:r w:rsidRPr="002A56F8">
              <w:rPr>
                <w:rFonts w:eastAsia="Arial"/>
                <w:sz w:val="22"/>
                <w:szCs w:val="22"/>
              </w:rPr>
              <w:t>Processo de Dispensa 58600-19-2026-PRD</w:t>
            </w:r>
          </w:p>
        </w:tc>
        <w:tc>
          <w:tcPr>
            <w:tcW w:w="11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CEFE01" w14:textId="77777777" w:rsidR="00175C02" w:rsidRPr="002A56F8" w:rsidRDefault="00435FC7" w:rsidP="002A56F8">
            <w:pPr>
              <w:jc w:val="center"/>
              <w:rPr>
                <w:sz w:val="22"/>
                <w:szCs w:val="22"/>
              </w:rPr>
            </w:pPr>
            <w:r w:rsidRPr="002A56F8">
              <w:rPr>
                <w:rFonts w:eastAsia="Arial"/>
                <w:sz w:val="22"/>
                <w:szCs w:val="22"/>
              </w:rPr>
              <w:t>12/03/2026</w:t>
            </w:r>
          </w:p>
        </w:tc>
        <w:tc>
          <w:tcPr>
            <w:tcW w:w="11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F34947" w14:textId="77777777" w:rsidR="00175C02" w:rsidRPr="002A56F8" w:rsidRDefault="00435FC7" w:rsidP="002A56F8">
            <w:pPr>
              <w:jc w:val="right"/>
              <w:rPr>
                <w:sz w:val="22"/>
                <w:szCs w:val="22"/>
              </w:rPr>
            </w:pPr>
            <w:r w:rsidRPr="002A56F8">
              <w:rPr>
                <w:rFonts w:eastAsia="Arial"/>
                <w:sz w:val="22"/>
                <w:szCs w:val="22"/>
              </w:rPr>
              <w:t>27.449,40</w:t>
            </w:r>
          </w:p>
        </w:tc>
      </w:tr>
      <w:tr w:rsidR="00175C02" w:rsidRPr="002A56F8" w14:paraId="2F28F8C3" w14:textId="77777777" w:rsidTr="00285915">
        <w:tc>
          <w:tcPr>
            <w:tcW w:w="112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BE0539" w14:textId="77777777" w:rsidR="00175C02" w:rsidRPr="002A56F8" w:rsidRDefault="00435FC7" w:rsidP="002A56F8">
            <w:pPr>
              <w:jc w:val="center"/>
              <w:rPr>
                <w:sz w:val="22"/>
                <w:szCs w:val="22"/>
              </w:rPr>
            </w:pPr>
            <w:r w:rsidRPr="002A56F8">
              <w:rPr>
                <w:rFonts w:eastAsia="Arial"/>
                <w:sz w:val="22"/>
                <w:szCs w:val="22"/>
              </w:rPr>
              <w:t>3</w:t>
            </w:r>
          </w:p>
        </w:tc>
        <w:tc>
          <w:tcPr>
            <w:tcW w:w="35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DB1E6E" w14:textId="77777777" w:rsidR="00175C02" w:rsidRPr="002A56F8" w:rsidRDefault="00435FC7" w:rsidP="002A56F8">
            <w:pPr>
              <w:rPr>
                <w:sz w:val="22"/>
                <w:szCs w:val="22"/>
              </w:rPr>
            </w:pPr>
            <w:r w:rsidRPr="002A56F8">
              <w:rPr>
                <w:rFonts w:eastAsia="Arial"/>
                <w:sz w:val="22"/>
                <w:szCs w:val="22"/>
              </w:rPr>
              <w:t>Prefeitura Municipal de Realeza/PR</w:t>
            </w: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2B4578" w14:textId="77777777" w:rsidR="00175C02" w:rsidRPr="002A56F8" w:rsidRDefault="00435FC7" w:rsidP="002A56F8">
            <w:pPr>
              <w:rPr>
                <w:sz w:val="22"/>
                <w:szCs w:val="22"/>
              </w:rPr>
            </w:pPr>
            <w:r w:rsidRPr="002A56F8">
              <w:rPr>
                <w:rFonts w:eastAsia="Arial"/>
                <w:sz w:val="22"/>
                <w:szCs w:val="22"/>
              </w:rPr>
              <w:t>Dispensa MR-72026</w:t>
            </w:r>
          </w:p>
        </w:tc>
        <w:tc>
          <w:tcPr>
            <w:tcW w:w="11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14C877" w14:textId="77777777" w:rsidR="00175C02" w:rsidRPr="002A56F8" w:rsidRDefault="00435FC7" w:rsidP="002A56F8">
            <w:pPr>
              <w:jc w:val="center"/>
              <w:rPr>
                <w:sz w:val="22"/>
                <w:szCs w:val="22"/>
              </w:rPr>
            </w:pPr>
            <w:r w:rsidRPr="002A56F8">
              <w:rPr>
                <w:rFonts w:eastAsia="Arial"/>
                <w:sz w:val="22"/>
                <w:szCs w:val="22"/>
              </w:rPr>
              <w:t>27/02/2026</w:t>
            </w:r>
          </w:p>
        </w:tc>
        <w:tc>
          <w:tcPr>
            <w:tcW w:w="11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5B35B9" w14:textId="77777777" w:rsidR="00175C02" w:rsidRPr="002A56F8" w:rsidRDefault="00435FC7" w:rsidP="002A56F8">
            <w:pPr>
              <w:jc w:val="right"/>
              <w:rPr>
                <w:sz w:val="22"/>
                <w:szCs w:val="22"/>
              </w:rPr>
            </w:pPr>
            <w:r w:rsidRPr="002A56F8">
              <w:rPr>
                <w:rFonts w:eastAsia="Arial"/>
                <w:sz w:val="22"/>
                <w:szCs w:val="22"/>
              </w:rPr>
              <w:t>72.000,00</w:t>
            </w:r>
          </w:p>
        </w:tc>
      </w:tr>
      <w:tr w:rsidR="00175C02" w:rsidRPr="002A56F8" w14:paraId="0B738C03" w14:textId="77777777" w:rsidTr="00285915">
        <w:tc>
          <w:tcPr>
            <w:tcW w:w="112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DC22BC" w14:textId="77777777" w:rsidR="00175C02" w:rsidRPr="002A56F8" w:rsidRDefault="00435FC7" w:rsidP="002A56F8">
            <w:pPr>
              <w:jc w:val="center"/>
              <w:rPr>
                <w:sz w:val="22"/>
                <w:szCs w:val="22"/>
              </w:rPr>
            </w:pPr>
            <w:r w:rsidRPr="002A56F8">
              <w:rPr>
                <w:rFonts w:eastAsia="Arial"/>
                <w:sz w:val="22"/>
                <w:szCs w:val="22"/>
              </w:rPr>
              <w:t>4</w:t>
            </w:r>
          </w:p>
        </w:tc>
        <w:tc>
          <w:tcPr>
            <w:tcW w:w="35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2D7498" w14:textId="77777777" w:rsidR="00175C02" w:rsidRPr="002A56F8" w:rsidRDefault="00435FC7" w:rsidP="002A56F8">
            <w:pPr>
              <w:rPr>
                <w:sz w:val="22"/>
                <w:szCs w:val="22"/>
              </w:rPr>
            </w:pPr>
            <w:r w:rsidRPr="002A56F8">
              <w:rPr>
                <w:rFonts w:eastAsia="Arial"/>
                <w:sz w:val="22"/>
                <w:szCs w:val="22"/>
              </w:rPr>
              <w:t>Município de Santo Antônio do Sudoeste/PR (objeto de idêntica natureza: arena esportiva de 4.000 m²)</w:t>
            </w: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DEAD15" w14:textId="77777777" w:rsidR="00175C02" w:rsidRPr="002A56F8" w:rsidRDefault="00435FC7" w:rsidP="002A56F8">
            <w:pPr>
              <w:rPr>
                <w:sz w:val="22"/>
                <w:szCs w:val="22"/>
              </w:rPr>
            </w:pPr>
            <w:r w:rsidRPr="002A56F8">
              <w:rPr>
                <w:rFonts w:eastAsia="Arial"/>
                <w:sz w:val="22"/>
                <w:szCs w:val="22"/>
              </w:rPr>
              <w:t>Dispensa MSAS-772025</w:t>
            </w:r>
          </w:p>
        </w:tc>
        <w:tc>
          <w:tcPr>
            <w:tcW w:w="11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A2CB81" w14:textId="77777777" w:rsidR="00175C02" w:rsidRPr="002A56F8" w:rsidRDefault="00435FC7" w:rsidP="002A56F8">
            <w:pPr>
              <w:jc w:val="center"/>
              <w:rPr>
                <w:sz w:val="22"/>
                <w:szCs w:val="22"/>
              </w:rPr>
            </w:pPr>
            <w:r w:rsidRPr="002A56F8">
              <w:rPr>
                <w:rFonts w:eastAsia="Arial"/>
                <w:sz w:val="22"/>
                <w:szCs w:val="22"/>
              </w:rPr>
              <w:t>16/07/2025</w:t>
            </w:r>
          </w:p>
        </w:tc>
        <w:tc>
          <w:tcPr>
            <w:tcW w:w="11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65FBA4" w14:textId="77777777" w:rsidR="00175C02" w:rsidRPr="002A56F8" w:rsidRDefault="00435FC7" w:rsidP="002A56F8">
            <w:pPr>
              <w:jc w:val="right"/>
              <w:rPr>
                <w:sz w:val="22"/>
                <w:szCs w:val="22"/>
              </w:rPr>
            </w:pPr>
            <w:r w:rsidRPr="002A56F8">
              <w:rPr>
                <w:rFonts w:eastAsia="Arial"/>
                <w:sz w:val="22"/>
                <w:szCs w:val="22"/>
              </w:rPr>
              <w:t>78.000,00</w:t>
            </w:r>
          </w:p>
        </w:tc>
      </w:tr>
      <w:tr w:rsidR="00EA02A6" w:rsidRPr="002A56F8" w14:paraId="1CF390FD" w14:textId="77777777" w:rsidTr="00D23074">
        <w:trPr>
          <w:gridAfter w:val="2"/>
          <w:wAfter w:w="2341" w:type="dxa"/>
        </w:trPr>
        <w:tc>
          <w:tcPr>
            <w:tcW w:w="4688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ADC5D5" w14:textId="0A3C5A81" w:rsidR="00EA02A6" w:rsidRPr="002A56F8" w:rsidRDefault="00EA02A6" w:rsidP="002A56F8">
            <w:pPr>
              <w:rPr>
                <w:sz w:val="22"/>
                <w:szCs w:val="22"/>
              </w:rPr>
            </w:pPr>
            <w:r w:rsidRPr="002A56F8">
              <w:rPr>
                <w:rFonts w:eastAsia="Arial"/>
                <w:b/>
                <w:bCs/>
                <w:sz w:val="22"/>
                <w:szCs w:val="22"/>
              </w:rPr>
              <w:t>Mediana dos preços obtidos (valor de referência adotado)</w:t>
            </w: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8B456E" w14:textId="77777777" w:rsidR="00EA02A6" w:rsidRPr="002A56F8" w:rsidRDefault="00EA02A6" w:rsidP="002A56F8">
            <w:pPr>
              <w:jc w:val="right"/>
              <w:rPr>
                <w:sz w:val="22"/>
                <w:szCs w:val="22"/>
              </w:rPr>
            </w:pPr>
            <w:r w:rsidRPr="002A56F8">
              <w:rPr>
                <w:rFonts w:eastAsia="Arial"/>
                <w:b/>
                <w:bCs/>
                <w:sz w:val="22"/>
                <w:szCs w:val="22"/>
              </w:rPr>
              <w:t>75.000,00</w:t>
            </w:r>
          </w:p>
        </w:tc>
      </w:tr>
      <w:tr w:rsidR="00EA02A6" w:rsidRPr="002A56F8" w14:paraId="43D9FC49" w14:textId="77777777" w:rsidTr="00772848">
        <w:trPr>
          <w:gridAfter w:val="2"/>
          <w:wAfter w:w="2341" w:type="dxa"/>
        </w:trPr>
        <w:tc>
          <w:tcPr>
            <w:tcW w:w="4688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A93D03" w14:textId="1CC21363" w:rsidR="00EA02A6" w:rsidRPr="002A56F8" w:rsidRDefault="00EA02A6" w:rsidP="002A56F8">
            <w:pPr>
              <w:rPr>
                <w:sz w:val="22"/>
                <w:szCs w:val="22"/>
              </w:rPr>
            </w:pPr>
            <w:r w:rsidRPr="002A56F8">
              <w:rPr>
                <w:rFonts w:eastAsia="Arial"/>
                <w:b/>
                <w:bCs/>
                <w:sz w:val="22"/>
                <w:szCs w:val="22"/>
              </w:rPr>
              <w:t>Média aritmética dos preços obtidos</w:t>
            </w: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969B8C" w14:textId="77777777" w:rsidR="00EA02A6" w:rsidRPr="002A56F8" w:rsidRDefault="00EA02A6" w:rsidP="002A56F8">
            <w:pPr>
              <w:jc w:val="right"/>
              <w:rPr>
                <w:sz w:val="22"/>
                <w:szCs w:val="22"/>
              </w:rPr>
            </w:pPr>
            <w:r w:rsidRPr="002A56F8">
              <w:rPr>
                <w:rFonts w:eastAsia="Arial"/>
                <w:b/>
                <w:bCs/>
                <w:sz w:val="22"/>
                <w:szCs w:val="22"/>
              </w:rPr>
              <w:t>74.362,35</w:t>
            </w:r>
          </w:p>
        </w:tc>
      </w:tr>
    </w:tbl>
    <w:p w14:paraId="1CB05FBA" w14:textId="797037CE" w:rsidR="00175C02" w:rsidRPr="002A56F8" w:rsidRDefault="00144DA6" w:rsidP="002A56F8">
      <w:pPr>
        <w:jc w:val="both"/>
        <w:rPr>
          <w:sz w:val="22"/>
          <w:szCs w:val="22"/>
        </w:rPr>
      </w:pPr>
      <w:r w:rsidRPr="00144DA6">
        <w:rPr>
          <w:sz w:val="22"/>
          <w:szCs w:val="22"/>
        </w:rPr>
        <w:t>Para definição do valor estimado foi adotada a mediana dos preços válidos obtidos em contratações públicas de objetos semelhantes, por representar medida estatística menos suscetível à influência de valores extremos, em conformidade com o art. 23 da Lei nº 14.133/2021 e com a metodologia da IN SEGES/ME nº 65/2021</w:t>
      </w:r>
      <w:r>
        <w:rPr>
          <w:sz w:val="22"/>
          <w:szCs w:val="22"/>
        </w:rPr>
        <w:t>.</w:t>
      </w:r>
    </w:p>
    <w:p w14:paraId="355528EE" w14:textId="77777777" w:rsidR="00175C02" w:rsidRDefault="00435FC7" w:rsidP="002A56F8">
      <w:pPr>
        <w:jc w:val="both"/>
        <w:rPr>
          <w:rFonts w:eastAsia="Arial"/>
          <w:sz w:val="22"/>
          <w:szCs w:val="22"/>
        </w:rPr>
      </w:pPr>
      <w:r w:rsidRPr="002A56F8">
        <w:rPr>
          <w:rFonts w:eastAsia="Arial"/>
          <w:sz w:val="22"/>
          <w:szCs w:val="22"/>
        </w:rPr>
        <w:t>Considerando que os valores obtidos apresentaram compatibilidade entre si e que não foram identificados indícios de inexequibilidade ou distorções relevantes na pesquisa realizada, adotou-se como valor de referência a mediana dos preços obtidos, no montante de R$ 75.000,00 (setenta e cinco mil reais), por reduzir a influência de valores extremos, em especial diante da amplitude entre o menor e o maior orçamento coletado (R$ 27.449,40 a R$ 120.000,00).</w:t>
      </w:r>
    </w:p>
    <w:p w14:paraId="36D46E8F" w14:textId="77777777" w:rsidR="00144DA6" w:rsidRPr="002A56F8" w:rsidRDefault="00144DA6" w:rsidP="002A56F8">
      <w:pPr>
        <w:jc w:val="both"/>
        <w:rPr>
          <w:sz w:val="22"/>
          <w:szCs w:val="22"/>
        </w:rPr>
      </w:pPr>
    </w:p>
    <w:p w14:paraId="1F0FFB72" w14:textId="77777777" w:rsidR="00175C02" w:rsidRPr="002A56F8" w:rsidRDefault="00435FC7" w:rsidP="002A56F8">
      <w:pPr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  <w:u w:val="single"/>
        </w:rPr>
        <w:t>7. Descrição da solução como um todo</w:t>
      </w:r>
    </w:p>
    <w:p w14:paraId="432DF4BE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A solução proposta consiste na contratação de empresa especializada para elaboração dos projetos técnicos e complementares destinados à construção da Arena Esportiva Multiuso do Município de Palmitos/SC, compreendendo todos os estudos, levantamentos, projetos, memoriais, quantitativos, orçamentos e demais documentos técnicos necessários à adequada definição das soluções de engenharia e arquitetura e à futura contratação da execução da obra.</w:t>
      </w:r>
    </w:p>
    <w:p w14:paraId="5512FCEE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Deverão ser elaborados, no mínimo:</w:t>
      </w:r>
    </w:p>
    <w:p w14:paraId="547E237B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projeto arquitetônico (arena, quadra oficial 40,00m x 20,00m, arquibancada, vestiários, banheiros e salas de apoio);</w:t>
      </w:r>
    </w:p>
    <w:p w14:paraId="06240A8A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projeto de acessibilidade;</w:t>
      </w:r>
    </w:p>
    <w:p w14:paraId="2FB51658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projeto estrutural;</w:t>
      </w:r>
    </w:p>
    <w:p w14:paraId="5126E903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projetos complementares (elétrico/SPDA, hidrossanitário, pluvial);</w:t>
      </w:r>
    </w:p>
    <w:p w14:paraId="5CC5F706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projeto de prevenção e combate a incêndio (PPCI);</w:t>
      </w:r>
    </w:p>
    <w:p w14:paraId="31A28057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projeto executivo;</w:t>
      </w:r>
    </w:p>
    <w:p w14:paraId="4222574E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memorial descritivo;</w:t>
      </w:r>
    </w:p>
    <w:p w14:paraId="3A7C330A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memorial de cálculo;</w:t>
      </w:r>
    </w:p>
    <w:p w14:paraId="49BEC918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quantitativos;</w:t>
      </w:r>
    </w:p>
    <w:p w14:paraId="37357BFB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cronograma físico-financeiro;</w:t>
      </w:r>
    </w:p>
    <w:p w14:paraId="19E212FE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planilhas orçamentárias com e sem BDI;</w:t>
      </w:r>
    </w:p>
    <w:p w14:paraId="10FF66B4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demais elementos técnicos necessários à futura execução.</w:t>
      </w:r>
    </w:p>
    <w:p w14:paraId="3113C55C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 xml:space="preserve">A contratação compreenderá ainda a emissão das respectivas Anotações de Responsabilidade Técnica (ART) e/ou Registros de Responsabilidade Técnica (RRT), bem como a entrega dos documentos em </w:t>
      </w:r>
      <w:r w:rsidRPr="002A56F8">
        <w:rPr>
          <w:rFonts w:eastAsia="Arial"/>
          <w:sz w:val="22"/>
          <w:szCs w:val="22"/>
        </w:rPr>
        <w:lastRenderedPageBreak/>
        <w:t>formato digital editável e não editável, aptos à análise da Administração e à utilização em futuros procedimentos licitatórios.</w:t>
      </w:r>
    </w:p>
    <w:p w14:paraId="5E871637" w14:textId="77777777" w:rsidR="00175C02" w:rsidRDefault="00435FC7" w:rsidP="002A56F8">
      <w:pPr>
        <w:jc w:val="both"/>
        <w:rPr>
          <w:rFonts w:eastAsia="Arial"/>
          <w:sz w:val="22"/>
          <w:szCs w:val="22"/>
        </w:rPr>
      </w:pPr>
      <w:r w:rsidRPr="002A56F8">
        <w:rPr>
          <w:rFonts w:eastAsia="Arial"/>
          <w:sz w:val="22"/>
          <w:szCs w:val="22"/>
        </w:rPr>
        <w:t>A contratação integrada dos serviços mostra-se a alternativa mais adequada para atendimento da necessidade administrativa, pois permite a centralização da responsabilidade técnica, a compatibilização entre as disciplinas envolvidas, a uniformização dos documentos produzidos, a redução de inconsistências técnicas e a melhoria do planejamento da futura execução.</w:t>
      </w:r>
    </w:p>
    <w:p w14:paraId="7D550C27" w14:textId="77777777" w:rsidR="00144DA6" w:rsidRPr="002A56F8" w:rsidRDefault="00144DA6" w:rsidP="002A56F8">
      <w:pPr>
        <w:jc w:val="both"/>
        <w:rPr>
          <w:sz w:val="22"/>
          <w:szCs w:val="22"/>
        </w:rPr>
      </w:pPr>
    </w:p>
    <w:p w14:paraId="7F6C13DE" w14:textId="77777777" w:rsidR="00175C02" w:rsidRPr="002A56F8" w:rsidRDefault="00435FC7" w:rsidP="002A56F8">
      <w:pPr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  <w:u w:val="single"/>
        </w:rPr>
        <w:t>8. Justificativas para o parcelamento ou não da contratação</w:t>
      </w:r>
    </w:p>
    <w:p w14:paraId="70432E52" w14:textId="60756B6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 xml:space="preserve">A contratação será realizada em item único, considerando que o objeto </w:t>
      </w:r>
      <w:r w:rsidR="00144DA6" w:rsidRPr="002A56F8">
        <w:rPr>
          <w:rFonts w:eastAsia="Arial"/>
          <w:sz w:val="22"/>
          <w:szCs w:val="22"/>
        </w:rPr>
        <w:t>se refere</w:t>
      </w:r>
      <w:r w:rsidRPr="002A56F8">
        <w:rPr>
          <w:rFonts w:eastAsia="Arial"/>
          <w:sz w:val="22"/>
          <w:szCs w:val="22"/>
        </w:rPr>
        <w:t xml:space="preserve"> a um único empreendimento — a Arena Esportiva Multiuso —, cujas disciplinas de projeto (arquitetônico, estrutural, complementares, acessibilidade e incêndio) são interdependentes e exigem compatibilização integral entre si, não se justificando o fracionamento do objeto.</w:t>
      </w:r>
    </w:p>
    <w:p w14:paraId="5C54F799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O não parcelamento mostra-se tecnicamente adequado e economicamente vantajoso, uma vez que:</w:t>
      </w:r>
    </w:p>
    <w:p w14:paraId="42AB9381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evita a fragmentação de responsabilidades técnicas sobre um mesmo empreendimento;</w:t>
      </w:r>
    </w:p>
    <w:p w14:paraId="4B469D6B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assegura a compatibilização integral entre as disciplinas de projeto;</w:t>
      </w:r>
    </w:p>
    <w:p w14:paraId="6F11FEBD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reduz o risco de divergências entre projetos elaborados por empresas distintas;</w:t>
      </w:r>
    </w:p>
    <w:p w14:paraId="206695F1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possibilita maior eficiência na gestão contratual e no acompanhamento da execução.</w:t>
      </w:r>
    </w:p>
    <w:p w14:paraId="1A930D01" w14:textId="77777777" w:rsidR="00175C02" w:rsidRDefault="00435FC7" w:rsidP="002A56F8">
      <w:pPr>
        <w:jc w:val="both"/>
        <w:rPr>
          <w:rFonts w:eastAsia="Arial"/>
          <w:sz w:val="22"/>
          <w:szCs w:val="22"/>
        </w:rPr>
      </w:pPr>
      <w:r w:rsidRPr="002A56F8">
        <w:rPr>
          <w:rFonts w:eastAsia="Arial"/>
          <w:sz w:val="22"/>
          <w:szCs w:val="22"/>
        </w:rPr>
        <w:t>Dessa forma, conclui-se que a contratação em item único atende ao interesse público e representa a solução mais adequada para o objeto pretendido, em conformidade com as disposições da Lei nº 14.133/2021.</w:t>
      </w:r>
    </w:p>
    <w:p w14:paraId="680461EA" w14:textId="77777777" w:rsidR="00144DA6" w:rsidRPr="002A56F8" w:rsidRDefault="00144DA6" w:rsidP="002A56F8">
      <w:pPr>
        <w:jc w:val="both"/>
        <w:rPr>
          <w:sz w:val="22"/>
          <w:szCs w:val="22"/>
        </w:rPr>
      </w:pPr>
    </w:p>
    <w:p w14:paraId="166699A9" w14:textId="77777777" w:rsidR="00175C02" w:rsidRPr="002A56F8" w:rsidRDefault="00435FC7" w:rsidP="002A56F8">
      <w:pPr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  <w:u w:val="single"/>
        </w:rPr>
        <w:t>9. Demonstrativo dos resultados pretendidos em termos de economicidade e de melhor aproveitamento dos recursos humanos, materiais e financeiros disponíveis</w:t>
      </w:r>
    </w:p>
    <w:p w14:paraId="7921A801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A contratação de empresa especializada para elaboração dos projetos técnicos e complementares destinados à construção da Arena Esportiva Multiuso tem por objetivo proporcionar maior eficiência no planejamento da futura contratação e melhor utilização dos recursos públicos disponíveis.</w:t>
      </w:r>
    </w:p>
    <w:p w14:paraId="1B3736BC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Os principais resultados pretendidos são:</w:t>
      </w:r>
    </w:p>
    <w:p w14:paraId="303B9441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obtenção de projetos técnicos completos, compatibilizados e aptos a subsidiar futura licitação para execução do empreendimento;</w:t>
      </w:r>
    </w:p>
    <w:p w14:paraId="78B33FCD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melhoria do planejamento da futura obra, mediante definição adequada das soluções de engenharia e arquitetura, dos quantitativos, dos custos e dos métodos construtivos;</w:t>
      </w:r>
    </w:p>
    <w:p w14:paraId="0FA39289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maior precisão na elaboração dos orçamentos, reduzindo riscos de subavaliação ou superavaliação dos custos da futura contratação;</w:t>
      </w:r>
    </w:p>
    <w:p w14:paraId="11395D60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redução da ocorrência de falhas de projeto, retrabalho, paralisações, modificações contratuais e aditivos decorrentes de inconsistências técnicas;</w:t>
      </w:r>
    </w:p>
    <w:p w14:paraId="60BFE9EA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ampliação da segurança técnica e jurídica do futuro processo licitatório relacionado à execução do empreendimento;</w:t>
      </w:r>
    </w:p>
    <w:p w14:paraId="3D7D9F22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melhor aproveitamento dos recursos humanos da Administração, permitindo que a equipe municipal concentre seus esforços nas atividades de planejamento, fiscalização e gestão contratual;</w:t>
      </w:r>
    </w:p>
    <w:p w14:paraId="174EAF20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racionalização da aplicação dos recursos financeiros públicos, mediante definição prévia e adequada das soluções técnicas a serem executadas;</w:t>
      </w:r>
    </w:p>
    <w:p w14:paraId="40A114F3" w14:textId="77777777" w:rsidR="00175C02" w:rsidRPr="00144DA6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adoção de soluções técnicas compatíveis com as condições locais, observando critérios de funcionalidade, segurança, durabilidade, acessibilidade, eficiência e sustentabilidade.</w:t>
      </w:r>
    </w:p>
    <w:p w14:paraId="616F3E32" w14:textId="77777777" w:rsidR="00144DA6" w:rsidRPr="00144DA6" w:rsidRDefault="00144DA6" w:rsidP="00144DA6">
      <w:pPr>
        <w:ind w:left="360"/>
        <w:jc w:val="both"/>
        <w:rPr>
          <w:sz w:val="22"/>
          <w:szCs w:val="22"/>
        </w:rPr>
      </w:pPr>
    </w:p>
    <w:p w14:paraId="7EAD7C33" w14:textId="77777777" w:rsidR="00175C02" w:rsidRPr="002A56F8" w:rsidRDefault="00435FC7" w:rsidP="002A56F8">
      <w:pPr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  <w:u w:val="single"/>
        </w:rPr>
        <w:t>10. Contratações correlatas e/ou interdependentes</w:t>
      </w:r>
    </w:p>
    <w:p w14:paraId="315FCCB8" w14:textId="77777777" w:rsidR="00144DA6" w:rsidRPr="00144DA6" w:rsidRDefault="00144DA6" w:rsidP="00144DA6">
      <w:pPr>
        <w:jc w:val="both"/>
        <w:rPr>
          <w:rFonts w:eastAsia="Arial"/>
          <w:sz w:val="22"/>
          <w:szCs w:val="22"/>
        </w:rPr>
      </w:pPr>
      <w:r w:rsidRPr="00144DA6">
        <w:rPr>
          <w:rFonts w:eastAsia="Arial"/>
          <w:sz w:val="22"/>
          <w:szCs w:val="22"/>
        </w:rPr>
        <w:t xml:space="preserve">A presente contratação constitui etapa preparatória de empreendimento de maior porte e possui relação direta com a futura licitação para execução da obra da Arena Esportiva Multiuso. Também poderá demandar, conforme os projetos elaborados, processos administrativos destinados à obtenção de aprovações junto ao Corpo de Bombeiros Militar de Santa Catarina e demais órgãos competentes. </w:t>
      </w:r>
    </w:p>
    <w:p w14:paraId="1038CDE4" w14:textId="3E8B6978" w:rsidR="00175C02" w:rsidRDefault="00144DA6" w:rsidP="002A56F8">
      <w:pPr>
        <w:jc w:val="both"/>
        <w:rPr>
          <w:rFonts w:eastAsia="Arial"/>
          <w:sz w:val="22"/>
          <w:szCs w:val="22"/>
        </w:rPr>
      </w:pPr>
      <w:r w:rsidRPr="00144DA6">
        <w:rPr>
          <w:rFonts w:eastAsia="Arial"/>
          <w:sz w:val="22"/>
          <w:szCs w:val="22"/>
        </w:rPr>
        <w:t>Markdown.md colado</w:t>
      </w:r>
      <w:r w:rsidR="00435FC7" w:rsidRPr="002A56F8">
        <w:rPr>
          <w:rFonts w:eastAsia="Arial"/>
          <w:sz w:val="22"/>
          <w:szCs w:val="22"/>
        </w:rPr>
        <w:t>.</w:t>
      </w:r>
    </w:p>
    <w:p w14:paraId="2F2081A6" w14:textId="77777777" w:rsidR="00144DA6" w:rsidRPr="00144DA6" w:rsidRDefault="00144DA6" w:rsidP="002A56F8">
      <w:pPr>
        <w:jc w:val="both"/>
        <w:rPr>
          <w:rFonts w:eastAsia="Arial"/>
          <w:sz w:val="22"/>
          <w:szCs w:val="22"/>
        </w:rPr>
      </w:pPr>
    </w:p>
    <w:p w14:paraId="6E3F63D0" w14:textId="77777777" w:rsidR="00175C02" w:rsidRPr="002A56F8" w:rsidRDefault="00435FC7" w:rsidP="002A56F8">
      <w:pPr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  <w:u w:val="single"/>
        </w:rPr>
        <w:t>11. Descrição de possíveis impactos ambientais e respectivas medidas mitigadoras, incluídos requisitos de baixo consumo de energia e de outros recursos, bem como logística reversa, quando aplicável</w:t>
      </w:r>
    </w:p>
    <w:p w14:paraId="10E5276A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A presente contratação tem por objeto a elaboração de projetos técnicos de engenharia e arquitetura, não envolvendo, nesta etapa, a execução de obras ou intervenções físicas, razão pela qual não são identificados impactos ambientais diretos relevantes decorrentes da contratação em si.</w:t>
      </w:r>
    </w:p>
    <w:p w14:paraId="4225C2EF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Todavia, considerando que os projetos elaborados subsidiarão a futura obra de construção da Arena, deverão ser observados, durante o desenvolvimento dos serviços, os princípios da sustentabilidade, da eficiência na utilização dos recursos públicos e da observância da legislação ambiental aplicável, especialmente quanto a:</w:t>
      </w:r>
    </w:p>
    <w:p w14:paraId="3DB411DB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soluções que favoreçam a adequada drenagem da área de implantação, minimizando riscos de erosão, assoreamento e acúmulo de águas pluviais;</w:t>
      </w:r>
    </w:p>
    <w:p w14:paraId="401DDFE4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alternativas que promovam a durabilidade das estruturas e a redução dos custos de manutenção ao longo de sua vida útil;</w:t>
      </w:r>
    </w:p>
    <w:p w14:paraId="552305CB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utilização racional de materiais e recursos naturais, e especificação de sistemas de iluminação eficientes (ex.: LED) para a quadra;</w:t>
      </w:r>
    </w:p>
    <w:p w14:paraId="3BA22007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observância das normas ambientais, urbanísticas e de segurança aplicáveis ao objeto;</w:t>
      </w:r>
    </w:p>
    <w:p w14:paraId="55B379DE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observância dos requisitos de acessibilidade previstos na legislação e nas normas técnicas aplicáveis (NBR 9050);</w:t>
      </w:r>
    </w:p>
    <w:p w14:paraId="615724DE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indicação de medidas mitigadoras eventualmente necessárias em função das características do local de implantação.</w:t>
      </w:r>
    </w:p>
    <w:p w14:paraId="672E5614" w14:textId="77777777" w:rsidR="00175C02" w:rsidRDefault="00435FC7" w:rsidP="002A56F8">
      <w:pPr>
        <w:jc w:val="both"/>
        <w:rPr>
          <w:rFonts w:eastAsia="Arial"/>
          <w:sz w:val="22"/>
          <w:szCs w:val="22"/>
        </w:rPr>
      </w:pPr>
      <w:r w:rsidRPr="002A56F8">
        <w:rPr>
          <w:rFonts w:eastAsia="Arial"/>
          <w:sz w:val="22"/>
          <w:szCs w:val="22"/>
        </w:rPr>
        <w:t>Por se tratar de contratação de serviços intelectuais de elaboração de projetos, não se identificam, nesta fase, exigências específicas relacionadas à logística reversa de bens ou resíduos, sem prejuízo de sua eventual aplicação na etapa de execução da obra, caso exigida pela legislação ou pelas características dos materiais especificados.</w:t>
      </w:r>
    </w:p>
    <w:p w14:paraId="4FB23D49" w14:textId="77777777" w:rsidR="00144DA6" w:rsidRPr="002A56F8" w:rsidRDefault="00144DA6" w:rsidP="002A56F8">
      <w:pPr>
        <w:jc w:val="both"/>
        <w:rPr>
          <w:sz w:val="22"/>
          <w:szCs w:val="22"/>
        </w:rPr>
      </w:pPr>
    </w:p>
    <w:p w14:paraId="77A919A6" w14:textId="77777777" w:rsidR="00175C02" w:rsidRPr="002A56F8" w:rsidRDefault="00435FC7" w:rsidP="002A56F8">
      <w:pPr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  <w:u w:val="single"/>
        </w:rPr>
        <w:t>12. Providências prévias ao contrato</w:t>
      </w:r>
    </w:p>
    <w:p w14:paraId="2D49F416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Para assegurar a adequada execução do objeto, a Administração deverá adotar previamente as seguintes providências:</w:t>
      </w:r>
    </w:p>
    <w:p w14:paraId="0925B05C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definição do local de implantação da Arena Esportiva Multiuso, com identificação da área, acessos e condicionantes existentes;</w:t>
      </w:r>
    </w:p>
    <w:p w14:paraId="05EB6E07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disponibilização à futura contratada das informações, documentos, levantamentos, fotografias, cadastros, estudos preliminares e demais elementos técnicos eventualmente existentes e necessários ao desenvolvimento dos projetos;</w:t>
      </w:r>
    </w:p>
    <w:p w14:paraId="33E8A34A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verificação da necessidade de obtenção de informações junto a concessionárias de serviços públicos, órgãos ambientais, Corpo de Bombeiros e demais entidades que possam influenciar a elaboração dos projetos;</w:t>
      </w:r>
    </w:p>
    <w:p w14:paraId="7ECD0FD1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definição das diretrizes técnicas, funcionais, operacionais e estéticas que deverão ser observadas na elaboração dos projetos;</w:t>
      </w:r>
    </w:p>
    <w:p w14:paraId="1BE4BF23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designação formal do gestor e do fiscal do contrato, responsáveis pelo acompanhamento da execução, análise dos produtos entregues e fiscalização contratual;</w:t>
      </w:r>
    </w:p>
    <w:p w14:paraId="31855F15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organização dos procedimentos internos para recebimento, conferência, análise técnica, solicitação de ajustes e aprovação dos documentos produzidos;</w:t>
      </w:r>
    </w:p>
    <w:p w14:paraId="649D7966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confirmação da existência de recursos orçamentários para suporte à contratação;</w:t>
      </w:r>
    </w:p>
    <w:p w14:paraId="084736EB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elaboração e aprovação do Termo de Referência e dos demais documentos que compõem a fase preparatória da contratação;</w:t>
      </w:r>
    </w:p>
    <w:p w14:paraId="2F128853" w14:textId="77777777" w:rsidR="00175C02" w:rsidRPr="002A56F8" w:rsidRDefault="00435FC7" w:rsidP="002A56F8">
      <w:pPr>
        <w:pStyle w:val="PargrafodaLista"/>
        <w:numPr>
          <w:ilvl w:val="0"/>
          <w:numId w:val="1"/>
        </w:num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definição dos prazos de execução, dos marcos de entrega e dos critérios de recebimento dos serviços.</w:t>
      </w:r>
    </w:p>
    <w:p w14:paraId="29598F37" w14:textId="77777777" w:rsidR="00144DA6" w:rsidRDefault="00144DA6" w:rsidP="002A56F8">
      <w:pPr>
        <w:rPr>
          <w:rFonts w:eastAsia="Arial"/>
          <w:b/>
          <w:bCs/>
          <w:sz w:val="22"/>
          <w:szCs w:val="22"/>
          <w:u w:val="single"/>
        </w:rPr>
      </w:pPr>
    </w:p>
    <w:p w14:paraId="75049F68" w14:textId="03E5FE4D" w:rsidR="00175C02" w:rsidRPr="002A56F8" w:rsidRDefault="00435FC7" w:rsidP="002A56F8">
      <w:pPr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  <w:u w:val="single"/>
        </w:rPr>
        <w:t>13. Mapa de Riscos</w:t>
      </w:r>
    </w:p>
    <w:p w14:paraId="4D644F05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 xml:space="preserve">FASE DE ANÁLISE: (X) Planejamento da Contratação e Seleção do </w:t>
      </w:r>
      <w:proofErr w:type="gramStart"/>
      <w:r w:rsidRPr="002A56F8">
        <w:rPr>
          <w:rFonts w:eastAsia="Arial"/>
          <w:sz w:val="22"/>
          <w:szCs w:val="22"/>
        </w:rPr>
        <w:t>Fornecedor  (</w:t>
      </w:r>
      <w:proofErr w:type="gramEnd"/>
      <w:r w:rsidRPr="002A56F8">
        <w:rPr>
          <w:rFonts w:eastAsia="Arial"/>
          <w:sz w:val="22"/>
          <w:szCs w:val="22"/>
        </w:rPr>
        <w:t>X) Gestão do Contrato</w:t>
      </w:r>
    </w:p>
    <w:p w14:paraId="1C383E92" w14:textId="77777777" w:rsidR="00175C02" w:rsidRPr="002A56F8" w:rsidRDefault="00435FC7" w:rsidP="002A56F8">
      <w:pPr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>RISCO 01 – LICITAÇÃO DESERTA OU FRACASSADA</w:t>
      </w:r>
    </w:p>
    <w:p w14:paraId="34C53304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 xml:space="preserve">Probabilidade: </w:t>
      </w:r>
      <w:r w:rsidRPr="002A56F8">
        <w:rPr>
          <w:rFonts w:eastAsia="Arial"/>
          <w:sz w:val="22"/>
          <w:szCs w:val="22"/>
        </w:rPr>
        <w:t>Baixa</w:t>
      </w:r>
    </w:p>
    <w:p w14:paraId="0C430157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 xml:space="preserve">Impacto: </w:t>
      </w:r>
      <w:r w:rsidRPr="002A56F8">
        <w:rPr>
          <w:rFonts w:eastAsia="Arial"/>
          <w:sz w:val="22"/>
          <w:szCs w:val="22"/>
        </w:rPr>
        <w:t>Médio</w:t>
      </w:r>
    </w:p>
    <w:p w14:paraId="019714C4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 xml:space="preserve">Dano: </w:t>
      </w:r>
      <w:r w:rsidRPr="002A56F8">
        <w:rPr>
          <w:rFonts w:eastAsia="Arial"/>
          <w:sz w:val="22"/>
          <w:szCs w:val="22"/>
        </w:rPr>
        <w:t>Ausência de propostas válidas, ocasionando atraso na contratação.</w:t>
      </w:r>
    </w:p>
    <w:p w14:paraId="1C04527C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 xml:space="preserve">Ação Preventiva: </w:t>
      </w:r>
      <w:r w:rsidRPr="002A56F8">
        <w:rPr>
          <w:rFonts w:eastAsia="Arial"/>
          <w:sz w:val="22"/>
          <w:szCs w:val="22"/>
        </w:rPr>
        <w:t>Elaboração de edital com requisitos claros, pesquisa de mercado adequada e definição compatível com a realidade do setor.</w:t>
      </w:r>
    </w:p>
    <w:p w14:paraId="6CDD2A20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 xml:space="preserve">Responsável: </w:t>
      </w:r>
      <w:r w:rsidRPr="002A56F8">
        <w:rPr>
          <w:rFonts w:eastAsia="Arial"/>
          <w:sz w:val="22"/>
          <w:szCs w:val="22"/>
        </w:rPr>
        <w:t>Equipe de planejamento da contratação</w:t>
      </w:r>
    </w:p>
    <w:p w14:paraId="7BA5F31D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 xml:space="preserve">Ação de Contingência: </w:t>
      </w:r>
      <w:r w:rsidRPr="002A56F8">
        <w:rPr>
          <w:rFonts w:eastAsia="Arial"/>
          <w:sz w:val="22"/>
          <w:szCs w:val="22"/>
        </w:rPr>
        <w:t>Revisão do edital e reabertura do certame.</w:t>
      </w:r>
    </w:p>
    <w:p w14:paraId="286C8DE8" w14:textId="77777777" w:rsidR="00175C02" w:rsidRPr="002A56F8" w:rsidRDefault="00435FC7" w:rsidP="002A56F8">
      <w:pPr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>RISCO 02 – ELABORAÇÃO DE PROJETOS COM FALHAS TÉCNICAS</w:t>
      </w:r>
    </w:p>
    <w:p w14:paraId="678CC62F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 xml:space="preserve">Probabilidade: </w:t>
      </w:r>
      <w:r w:rsidRPr="002A56F8">
        <w:rPr>
          <w:rFonts w:eastAsia="Arial"/>
          <w:sz w:val="22"/>
          <w:szCs w:val="22"/>
        </w:rPr>
        <w:t>Média</w:t>
      </w:r>
    </w:p>
    <w:p w14:paraId="1E9BEF2A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 xml:space="preserve">Impacto: </w:t>
      </w:r>
      <w:r w:rsidRPr="002A56F8">
        <w:rPr>
          <w:rFonts w:eastAsia="Arial"/>
          <w:sz w:val="22"/>
          <w:szCs w:val="22"/>
        </w:rPr>
        <w:t>Alto</w:t>
      </w:r>
    </w:p>
    <w:p w14:paraId="5F32DBEC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 xml:space="preserve">Dano: </w:t>
      </w:r>
      <w:r w:rsidRPr="002A56F8">
        <w:rPr>
          <w:rFonts w:eastAsia="Arial"/>
          <w:sz w:val="22"/>
          <w:szCs w:val="22"/>
        </w:rPr>
        <w:t>Projetos inadequados, gerando erros na futura execução da obra e necessidade de retrabalho.</w:t>
      </w:r>
    </w:p>
    <w:p w14:paraId="3D2BD962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 xml:space="preserve">Ação Preventiva: </w:t>
      </w:r>
      <w:r w:rsidRPr="002A56F8">
        <w:rPr>
          <w:rFonts w:eastAsia="Arial"/>
          <w:sz w:val="22"/>
          <w:szCs w:val="22"/>
        </w:rPr>
        <w:t>Exigência de qualificação técnica, definição clara do escopo e acompanhamento técnico dos serviços.</w:t>
      </w:r>
    </w:p>
    <w:p w14:paraId="563F469D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 xml:space="preserve">Responsável: </w:t>
      </w:r>
      <w:r w:rsidRPr="002A56F8">
        <w:rPr>
          <w:rFonts w:eastAsia="Arial"/>
          <w:sz w:val="22"/>
          <w:szCs w:val="22"/>
        </w:rPr>
        <w:t>Setor de Engenharia</w:t>
      </w:r>
    </w:p>
    <w:p w14:paraId="5484CFD9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 xml:space="preserve">Ação de Contingência: </w:t>
      </w:r>
      <w:r w:rsidRPr="002A56F8">
        <w:rPr>
          <w:rFonts w:eastAsia="Arial"/>
          <w:sz w:val="22"/>
          <w:szCs w:val="22"/>
        </w:rPr>
        <w:t>Solicitação de correções e ajustes sem ônus à Administração.</w:t>
      </w:r>
    </w:p>
    <w:p w14:paraId="0626975F" w14:textId="77777777" w:rsidR="00175C02" w:rsidRPr="002A56F8" w:rsidRDefault="00435FC7" w:rsidP="002A56F8">
      <w:pPr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>RISCO 03 – ATRASO NA ENTREGA DOS PROJETOS</w:t>
      </w:r>
    </w:p>
    <w:p w14:paraId="1189BB55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 xml:space="preserve">Probabilidade: </w:t>
      </w:r>
      <w:r w:rsidRPr="002A56F8">
        <w:rPr>
          <w:rFonts w:eastAsia="Arial"/>
          <w:sz w:val="22"/>
          <w:szCs w:val="22"/>
        </w:rPr>
        <w:t>Média</w:t>
      </w:r>
    </w:p>
    <w:p w14:paraId="6BE4589C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 xml:space="preserve">Impacto: </w:t>
      </w:r>
      <w:r w:rsidRPr="002A56F8">
        <w:rPr>
          <w:rFonts w:eastAsia="Arial"/>
          <w:sz w:val="22"/>
          <w:szCs w:val="22"/>
        </w:rPr>
        <w:t>Médio</w:t>
      </w:r>
    </w:p>
    <w:p w14:paraId="3228435F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 xml:space="preserve">Dano: </w:t>
      </w:r>
      <w:r w:rsidRPr="002A56F8">
        <w:rPr>
          <w:rFonts w:eastAsia="Arial"/>
          <w:sz w:val="22"/>
          <w:szCs w:val="22"/>
        </w:rPr>
        <w:t>Comprometimento do cronograma da contratação e atraso na futura licitação e execução do empreendimento.</w:t>
      </w:r>
    </w:p>
    <w:p w14:paraId="4DAD602A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 xml:space="preserve">Ação Preventiva: </w:t>
      </w:r>
      <w:r w:rsidRPr="002A56F8">
        <w:rPr>
          <w:rFonts w:eastAsia="Arial"/>
          <w:sz w:val="22"/>
          <w:szCs w:val="22"/>
        </w:rPr>
        <w:t>Definição de cronograma e prazos contratuais claros, com acompanhamento periódico.</w:t>
      </w:r>
    </w:p>
    <w:p w14:paraId="0F4EFE22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 xml:space="preserve">Responsável: </w:t>
      </w:r>
      <w:r w:rsidRPr="002A56F8">
        <w:rPr>
          <w:rFonts w:eastAsia="Arial"/>
          <w:sz w:val="22"/>
          <w:szCs w:val="22"/>
        </w:rPr>
        <w:t>Fiscal do contrato</w:t>
      </w:r>
    </w:p>
    <w:p w14:paraId="64780DC7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 xml:space="preserve">Ação de Contingência: </w:t>
      </w:r>
      <w:r w:rsidRPr="002A56F8">
        <w:rPr>
          <w:rFonts w:eastAsia="Arial"/>
          <w:sz w:val="22"/>
          <w:szCs w:val="22"/>
        </w:rPr>
        <w:t>Aplicação de sanções e reprogramação dos prazos.</w:t>
      </w:r>
    </w:p>
    <w:p w14:paraId="6CB58AAB" w14:textId="77777777" w:rsidR="00175C02" w:rsidRPr="002A56F8" w:rsidRDefault="00435FC7" w:rsidP="002A56F8">
      <w:pPr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>RISCO 04 – ORÇAMENTO INCONSISTENTE OU IRREAL</w:t>
      </w:r>
    </w:p>
    <w:p w14:paraId="0B95BA3C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 xml:space="preserve">Probabilidade: </w:t>
      </w:r>
      <w:r w:rsidRPr="002A56F8">
        <w:rPr>
          <w:rFonts w:eastAsia="Arial"/>
          <w:sz w:val="22"/>
          <w:szCs w:val="22"/>
        </w:rPr>
        <w:t>Média</w:t>
      </w:r>
    </w:p>
    <w:p w14:paraId="0A1649DF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 xml:space="preserve">Impacto: </w:t>
      </w:r>
      <w:r w:rsidRPr="002A56F8">
        <w:rPr>
          <w:rFonts w:eastAsia="Arial"/>
          <w:sz w:val="22"/>
          <w:szCs w:val="22"/>
        </w:rPr>
        <w:t>Alto</w:t>
      </w:r>
    </w:p>
    <w:p w14:paraId="141C9AB9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 xml:space="preserve">Dano: </w:t>
      </w:r>
      <w:r w:rsidRPr="002A56F8">
        <w:rPr>
          <w:rFonts w:eastAsia="Arial"/>
          <w:sz w:val="22"/>
          <w:szCs w:val="22"/>
        </w:rPr>
        <w:t>Distorções nos valores da obra, podendo gerar sobrepreço ou inviabilidade da execução.</w:t>
      </w:r>
    </w:p>
    <w:p w14:paraId="28687337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 xml:space="preserve">Ação Preventiva: </w:t>
      </w:r>
      <w:r w:rsidRPr="002A56F8">
        <w:rPr>
          <w:rFonts w:eastAsia="Arial"/>
          <w:sz w:val="22"/>
          <w:szCs w:val="22"/>
        </w:rPr>
        <w:t>Utilização de bases oficiais (SINAPI/SICRO) e exigência de memória de cálculo detalhada.</w:t>
      </w:r>
    </w:p>
    <w:p w14:paraId="4A18CDCF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 xml:space="preserve">Responsável: </w:t>
      </w:r>
      <w:r w:rsidRPr="002A56F8">
        <w:rPr>
          <w:rFonts w:eastAsia="Arial"/>
          <w:sz w:val="22"/>
          <w:szCs w:val="22"/>
        </w:rPr>
        <w:t>Setor de Engenharia</w:t>
      </w:r>
    </w:p>
    <w:p w14:paraId="349C6D52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 xml:space="preserve">Ação de Contingência: </w:t>
      </w:r>
      <w:r w:rsidRPr="002A56F8">
        <w:rPr>
          <w:rFonts w:eastAsia="Arial"/>
          <w:sz w:val="22"/>
          <w:szCs w:val="22"/>
        </w:rPr>
        <w:t>Revisão dos orçamentos antes da licitação da obra.</w:t>
      </w:r>
    </w:p>
    <w:p w14:paraId="701AA493" w14:textId="77777777" w:rsidR="00175C02" w:rsidRPr="002A56F8" w:rsidRDefault="00435FC7" w:rsidP="002A56F8">
      <w:pPr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>RISCO 05 – NÃO APROVAÇÃO DOS PROJETOS EM ÓRGÃOS COMPETENTES (INCLUSIVE CORPO DE BOMBEIROS)</w:t>
      </w:r>
    </w:p>
    <w:p w14:paraId="492887AC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 xml:space="preserve">Probabilidade: </w:t>
      </w:r>
      <w:r w:rsidRPr="002A56F8">
        <w:rPr>
          <w:rFonts w:eastAsia="Arial"/>
          <w:sz w:val="22"/>
          <w:szCs w:val="22"/>
        </w:rPr>
        <w:t>Média</w:t>
      </w:r>
    </w:p>
    <w:p w14:paraId="32E9BD75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 xml:space="preserve">Impacto: </w:t>
      </w:r>
      <w:r w:rsidRPr="002A56F8">
        <w:rPr>
          <w:rFonts w:eastAsia="Arial"/>
          <w:sz w:val="22"/>
          <w:szCs w:val="22"/>
        </w:rPr>
        <w:t>Alto</w:t>
      </w:r>
    </w:p>
    <w:p w14:paraId="4C160187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 xml:space="preserve">Dano: </w:t>
      </w:r>
      <w:r w:rsidRPr="002A56F8">
        <w:rPr>
          <w:rFonts w:eastAsia="Arial"/>
          <w:sz w:val="22"/>
          <w:szCs w:val="22"/>
        </w:rPr>
        <w:t>Impossibilidade de execução da obra ou atraso na captação de recursos.</w:t>
      </w:r>
    </w:p>
    <w:p w14:paraId="03457196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 xml:space="preserve">Ação Preventiva: </w:t>
      </w:r>
      <w:r w:rsidRPr="002A56F8">
        <w:rPr>
          <w:rFonts w:eastAsia="Arial"/>
          <w:sz w:val="22"/>
          <w:szCs w:val="22"/>
        </w:rPr>
        <w:t>Observância das normas técnicas e exigências legais aplicáveis, especialmente quanto ao PPCI e à acessibilidade.</w:t>
      </w:r>
    </w:p>
    <w:p w14:paraId="1A233D4B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 xml:space="preserve">Responsável: </w:t>
      </w:r>
      <w:r w:rsidRPr="002A56F8">
        <w:rPr>
          <w:rFonts w:eastAsia="Arial"/>
          <w:sz w:val="22"/>
          <w:szCs w:val="22"/>
        </w:rPr>
        <w:t>Contratada / Setor de Engenharia</w:t>
      </w:r>
    </w:p>
    <w:p w14:paraId="54F329C2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 xml:space="preserve">Ação de Contingência: </w:t>
      </w:r>
      <w:r w:rsidRPr="002A56F8">
        <w:rPr>
          <w:rFonts w:eastAsia="Arial"/>
          <w:sz w:val="22"/>
          <w:szCs w:val="22"/>
        </w:rPr>
        <w:t>Adequação e reapresentação dos projetos.</w:t>
      </w:r>
    </w:p>
    <w:p w14:paraId="0F95DB36" w14:textId="77777777" w:rsidR="00175C02" w:rsidRPr="002A56F8" w:rsidRDefault="00435FC7" w:rsidP="002A56F8">
      <w:pPr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>RISCO 06 – INCOMPATIBILIDADE ENTRE PROJETOS, MEMORIAIS, QUANTITATIVOS E ORÇAMENTOS</w:t>
      </w:r>
    </w:p>
    <w:p w14:paraId="03075108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 xml:space="preserve">Probabilidade: </w:t>
      </w:r>
      <w:r w:rsidRPr="002A56F8">
        <w:rPr>
          <w:rFonts w:eastAsia="Arial"/>
          <w:sz w:val="22"/>
          <w:szCs w:val="22"/>
        </w:rPr>
        <w:t>Média</w:t>
      </w:r>
    </w:p>
    <w:p w14:paraId="4ABC4C0A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 xml:space="preserve">Impacto: </w:t>
      </w:r>
      <w:r w:rsidRPr="002A56F8">
        <w:rPr>
          <w:rFonts w:eastAsia="Arial"/>
          <w:sz w:val="22"/>
          <w:szCs w:val="22"/>
        </w:rPr>
        <w:t>Alto</w:t>
      </w:r>
    </w:p>
    <w:p w14:paraId="34BDF4F3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lastRenderedPageBreak/>
        <w:t xml:space="preserve">Dano: </w:t>
      </w:r>
      <w:r w:rsidRPr="002A56F8">
        <w:rPr>
          <w:rFonts w:eastAsia="Arial"/>
          <w:sz w:val="22"/>
          <w:szCs w:val="22"/>
        </w:rPr>
        <w:t>Divergências entre os documentos técnicos produzidos, comprometendo a futura licitação e a execução do empreendimento.</w:t>
      </w:r>
    </w:p>
    <w:p w14:paraId="766AEC89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 xml:space="preserve">Ação Preventiva: </w:t>
      </w:r>
      <w:r w:rsidRPr="002A56F8">
        <w:rPr>
          <w:rFonts w:eastAsia="Arial"/>
          <w:sz w:val="22"/>
          <w:szCs w:val="22"/>
        </w:rPr>
        <w:t>Exigir compatibilização técnica dos projetos, conferência dos quantitativos, revisão dos documentos e validação pela equipe técnica da Administração.</w:t>
      </w:r>
    </w:p>
    <w:p w14:paraId="7F0130F0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 xml:space="preserve">Responsável: </w:t>
      </w:r>
      <w:r w:rsidRPr="002A56F8">
        <w:rPr>
          <w:rFonts w:eastAsia="Arial"/>
          <w:sz w:val="22"/>
          <w:szCs w:val="22"/>
        </w:rPr>
        <w:t>Contratada e Setor de Engenharia</w:t>
      </w:r>
    </w:p>
    <w:p w14:paraId="6BBF5A0D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 xml:space="preserve">Ação de Contingência: </w:t>
      </w:r>
      <w:r w:rsidRPr="002A56F8">
        <w:rPr>
          <w:rFonts w:eastAsia="Arial"/>
          <w:sz w:val="22"/>
          <w:szCs w:val="22"/>
        </w:rPr>
        <w:t>Solicitação de correções, revisões e reapresentação dos documentos sem ônus para a Administração.</w:t>
      </w:r>
    </w:p>
    <w:p w14:paraId="26EE9019" w14:textId="77777777" w:rsidR="00175C02" w:rsidRPr="002A56F8" w:rsidRDefault="00435FC7" w:rsidP="002A56F8">
      <w:pPr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>RISCO 07 – INSUFICIÊNCIA OU INCONSISTÊNCIA DAS INFORMAÇÕES DISPONIBILIZADAS PARA ELABORAÇÃO DOS PROJETOS</w:t>
      </w:r>
    </w:p>
    <w:p w14:paraId="291ACDCC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 xml:space="preserve">Probabilidade: </w:t>
      </w:r>
      <w:r w:rsidRPr="002A56F8">
        <w:rPr>
          <w:rFonts w:eastAsia="Arial"/>
          <w:sz w:val="22"/>
          <w:szCs w:val="22"/>
        </w:rPr>
        <w:t>Média</w:t>
      </w:r>
    </w:p>
    <w:p w14:paraId="0455E63A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 xml:space="preserve">Impacto: </w:t>
      </w:r>
      <w:r w:rsidRPr="002A56F8">
        <w:rPr>
          <w:rFonts w:eastAsia="Arial"/>
          <w:sz w:val="22"/>
          <w:szCs w:val="22"/>
        </w:rPr>
        <w:t>Médio</w:t>
      </w:r>
    </w:p>
    <w:p w14:paraId="6E6DEDC0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 xml:space="preserve">Dano: </w:t>
      </w:r>
      <w:r w:rsidRPr="002A56F8">
        <w:rPr>
          <w:rFonts w:eastAsia="Arial"/>
          <w:sz w:val="22"/>
          <w:szCs w:val="22"/>
        </w:rPr>
        <w:t>Necessidade de retrabalho, revisões de projeto e atraso na execução contratual.</w:t>
      </w:r>
    </w:p>
    <w:p w14:paraId="0A46BED0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 xml:space="preserve">Ação Preventiva: </w:t>
      </w:r>
      <w:r w:rsidRPr="002A56F8">
        <w:rPr>
          <w:rFonts w:eastAsia="Arial"/>
          <w:sz w:val="22"/>
          <w:szCs w:val="22"/>
        </w:rPr>
        <w:t>Disponibilização prévia de todas as informações, levantamentos, documentos e diretrizes técnicas necessárias ao desenvolvimento dos projetos.</w:t>
      </w:r>
    </w:p>
    <w:p w14:paraId="5712DFF1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 xml:space="preserve">Responsável: </w:t>
      </w:r>
      <w:r w:rsidRPr="002A56F8">
        <w:rPr>
          <w:rFonts w:eastAsia="Arial"/>
          <w:sz w:val="22"/>
          <w:szCs w:val="22"/>
        </w:rPr>
        <w:t>Setor Demandante e Setor de Engenharia</w:t>
      </w:r>
    </w:p>
    <w:p w14:paraId="0A260B1A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 xml:space="preserve">Ação de Contingência: </w:t>
      </w:r>
      <w:r w:rsidRPr="002A56F8">
        <w:rPr>
          <w:rFonts w:eastAsia="Arial"/>
          <w:sz w:val="22"/>
          <w:szCs w:val="22"/>
        </w:rPr>
        <w:t>Complementação das informações e readequação do cronograma de execução, quando tecnicamente justificada.</w:t>
      </w:r>
    </w:p>
    <w:p w14:paraId="56249A00" w14:textId="77777777" w:rsidR="00144DA6" w:rsidRDefault="00144DA6" w:rsidP="002A56F8">
      <w:pPr>
        <w:rPr>
          <w:rFonts w:eastAsia="Arial"/>
          <w:b/>
          <w:bCs/>
          <w:sz w:val="22"/>
          <w:szCs w:val="22"/>
          <w:u w:val="single"/>
        </w:rPr>
      </w:pPr>
    </w:p>
    <w:p w14:paraId="7084A328" w14:textId="6BD7F025" w:rsidR="00175C02" w:rsidRPr="002A56F8" w:rsidRDefault="00435FC7" w:rsidP="002A56F8">
      <w:pPr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  <w:u w:val="single"/>
        </w:rPr>
        <w:t>14. Posicionamento conclusivo sobre a adequação da contratação para o atendimento da necessidade a que se destina</w:t>
      </w:r>
    </w:p>
    <w:p w14:paraId="2B743702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Após a análise da necessidade administrativa, do levantamento de mercado realizado, das alternativas disponíveis, da solução proposta, da estimativa de custos, dos riscos identificados e dos demais elementos constantes deste Estudo Técnico Preliminar, conclui-se que a contratação pretendida é adequada, necessária e viável para atendimento do interesse público.</w:t>
      </w:r>
    </w:p>
    <w:p w14:paraId="246F1CC6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A solução selecionada consiste na contratação de empresa especializada para elaboração dos projetos técnicos e complementares destinados à construção da Arena Esportiva Multiuso do Município de Palmitos/SC, compreendendo todos os elementos técnicos necessários à futura contratação da execução do empreendimento.</w:t>
      </w:r>
    </w:p>
    <w:p w14:paraId="55AF91A0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Verificou-se que a solução proposta atende de forma satisfatória à necessidade identificada pela Administração, proporcionando maior segurança técnica, melhor definição do objeto, maior precisão orçamentária e melhores condições para o planejamento e execução da futura obra. Verificou-se, ainda, que os custos estimados são compatíveis com os valores praticados no mercado (inclusive em Municípios com objeto de área e escopo semelhantes), que existem fornecedores aptos à execução do objeto e que os riscos identificados podem ser adequadamente gerenciados mediante as medidas preventivas e mitigadoras previstas neste Estudo Técnico Preliminar.</w:t>
      </w:r>
    </w:p>
    <w:p w14:paraId="4B727BB8" w14:textId="77777777" w:rsidR="00175C02" w:rsidRPr="002A56F8" w:rsidRDefault="00435FC7" w:rsidP="002A56F8">
      <w:pPr>
        <w:jc w:val="both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Dessa forma, conclui-se pela viabilidade técnica e econômica da contratação, recomendando-se o prosseguimento da fase preparatória mediante elaboração do Termo de Referência e adoção das demais providências necessárias à realização do procedimento licitatório, em conformidade com os princípios do planejamento, eficiência, economicidade e interesse público previstos na Lei nº 14.133/2021.</w:t>
      </w:r>
    </w:p>
    <w:p w14:paraId="66D5B942" w14:textId="77777777" w:rsidR="00144DA6" w:rsidRDefault="00144DA6" w:rsidP="002A56F8">
      <w:pPr>
        <w:rPr>
          <w:rFonts w:eastAsia="Arial"/>
          <w:b/>
          <w:bCs/>
          <w:sz w:val="22"/>
          <w:szCs w:val="22"/>
          <w:u w:val="single"/>
        </w:rPr>
      </w:pPr>
    </w:p>
    <w:p w14:paraId="02011E76" w14:textId="5534D4D4" w:rsidR="00175C02" w:rsidRPr="002A56F8" w:rsidRDefault="00435FC7" w:rsidP="002A56F8">
      <w:pPr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  <w:u w:val="single"/>
        </w:rPr>
        <w:t>15. Viabilidade da contratação</w:t>
      </w:r>
    </w:p>
    <w:p w14:paraId="6373CA63" w14:textId="27745769" w:rsidR="00175C02" w:rsidRDefault="00144DA6" w:rsidP="002A56F8">
      <w:pPr>
        <w:jc w:val="both"/>
        <w:rPr>
          <w:rFonts w:eastAsia="Arial"/>
          <w:sz w:val="22"/>
          <w:szCs w:val="22"/>
        </w:rPr>
      </w:pPr>
      <w:r w:rsidRPr="00144DA6">
        <w:rPr>
          <w:rFonts w:eastAsia="Arial"/>
          <w:sz w:val="22"/>
          <w:szCs w:val="22"/>
        </w:rPr>
        <w:t>Considerando a necessidade administrativa, o levantamento de mercado, a estimativa de preços, os riscos identificados e a adequação da solução proposta, conclui-se pela viabilidade técnica e econômica da contratação, recomendando-se o prosseguimento da fase preparatória com a elaboração do Termo de Referência e posterior realização do procedimento licitatório</w:t>
      </w:r>
      <w:r w:rsidR="00435FC7" w:rsidRPr="002A56F8">
        <w:rPr>
          <w:rFonts w:eastAsia="Arial"/>
          <w:sz w:val="22"/>
          <w:szCs w:val="22"/>
        </w:rPr>
        <w:t>.</w:t>
      </w:r>
    </w:p>
    <w:p w14:paraId="22CB1402" w14:textId="77777777" w:rsidR="00144DA6" w:rsidRPr="002A56F8" w:rsidRDefault="00144DA6" w:rsidP="002A56F8">
      <w:pPr>
        <w:jc w:val="both"/>
        <w:rPr>
          <w:rFonts w:eastAsia="Arial"/>
          <w:sz w:val="22"/>
          <w:szCs w:val="22"/>
        </w:rPr>
      </w:pPr>
    </w:p>
    <w:p w14:paraId="5A880107" w14:textId="48AFBC08" w:rsidR="0086592A" w:rsidRPr="002A56F8" w:rsidRDefault="007E0A6E" w:rsidP="002A56F8">
      <w:pPr>
        <w:ind w:firstLine="708"/>
        <w:rPr>
          <w:rFonts w:eastAsia="Arial"/>
          <w:sz w:val="22"/>
          <w:szCs w:val="22"/>
        </w:rPr>
      </w:pPr>
      <w:r w:rsidRPr="002A56F8">
        <w:rPr>
          <w:rFonts w:eastAsia="Arial"/>
          <w:sz w:val="22"/>
          <w:szCs w:val="22"/>
        </w:rPr>
        <w:t>Palmitos/SC, 1</w:t>
      </w:r>
      <w:r w:rsidR="001F5969">
        <w:rPr>
          <w:rFonts w:eastAsia="Arial"/>
          <w:sz w:val="22"/>
          <w:szCs w:val="22"/>
        </w:rPr>
        <w:t>4</w:t>
      </w:r>
      <w:r w:rsidRPr="002A56F8">
        <w:rPr>
          <w:rFonts w:eastAsia="Arial"/>
          <w:sz w:val="22"/>
          <w:szCs w:val="22"/>
        </w:rPr>
        <w:t xml:space="preserve"> de setembro de 2026.</w:t>
      </w:r>
    </w:p>
    <w:p w14:paraId="5C283080" w14:textId="77777777" w:rsidR="007E0A6E" w:rsidRPr="002A56F8" w:rsidRDefault="007E0A6E" w:rsidP="002A56F8">
      <w:pPr>
        <w:jc w:val="center"/>
        <w:rPr>
          <w:sz w:val="22"/>
          <w:szCs w:val="22"/>
        </w:rPr>
      </w:pPr>
    </w:p>
    <w:p w14:paraId="0CD98FB8" w14:textId="77777777" w:rsidR="007E0A6E" w:rsidRPr="002A56F8" w:rsidRDefault="007E0A6E" w:rsidP="002A56F8">
      <w:pPr>
        <w:jc w:val="center"/>
        <w:rPr>
          <w:sz w:val="22"/>
          <w:szCs w:val="22"/>
        </w:rPr>
      </w:pPr>
      <w:r w:rsidRPr="002A56F8">
        <w:rPr>
          <w:rFonts w:eastAsia="Arial"/>
          <w:sz w:val="22"/>
          <w:szCs w:val="22"/>
        </w:rPr>
        <w:t>____________________________________________</w:t>
      </w:r>
    </w:p>
    <w:p w14:paraId="116B4AEE" w14:textId="77777777" w:rsidR="007E0A6E" w:rsidRPr="002A56F8" w:rsidRDefault="007E0A6E" w:rsidP="002A56F8">
      <w:pPr>
        <w:jc w:val="center"/>
        <w:rPr>
          <w:rFonts w:eastAsia="Arial"/>
          <w:b/>
          <w:bCs/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lastRenderedPageBreak/>
        <w:t xml:space="preserve">MARLI ROSA REGNER CAMARGO </w:t>
      </w:r>
    </w:p>
    <w:p w14:paraId="0FB109DB" w14:textId="1A5C3758" w:rsidR="00175C02" w:rsidRPr="002A56F8" w:rsidRDefault="007E0A6E" w:rsidP="00F93EB0">
      <w:pPr>
        <w:jc w:val="center"/>
        <w:rPr>
          <w:sz w:val="22"/>
          <w:szCs w:val="22"/>
        </w:rPr>
      </w:pPr>
      <w:r w:rsidRPr="002A56F8">
        <w:rPr>
          <w:rFonts w:eastAsia="Arial"/>
          <w:b/>
          <w:bCs/>
          <w:sz w:val="22"/>
          <w:szCs w:val="22"/>
        </w:rPr>
        <w:t>Secretária Municipal de Educação, Cultura e Esporte</w:t>
      </w:r>
    </w:p>
    <w:sectPr w:rsidR="00175C02" w:rsidRPr="002A56F8" w:rsidSect="007D2547">
      <w:headerReference w:type="default" r:id="rId8"/>
      <w:footerReference w:type="default" r:id="rId9"/>
      <w:pgSz w:w="11906" w:h="16838"/>
      <w:pgMar w:top="2268" w:right="1274" w:bottom="1276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4B649" w14:textId="77777777" w:rsidR="00E0187F" w:rsidRDefault="00E0187F" w:rsidP="007E0A6E">
      <w:r>
        <w:separator/>
      </w:r>
    </w:p>
  </w:endnote>
  <w:endnote w:type="continuationSeparator" w:id="0">
    <w:p w14:paraId="5D4B15D8" w14:textId="77777777" w:rsidR="00E0187F" w:rsidRDefault="00E0187F" w:rsidP="007E0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AA61D" w14:textId="77777777" w:rsidR="007E0A6E" w:rsidRDefault="007E0A6E">
    <w:pPr>
      <w:pStyle w:val="Rodap"/>
    </w:pPr>
  </w:p>
  <w:p w14:paraId="57736CE4" w14:textId="77777777" w:rsidR="007E0A6E" w:rsidRDefault="007E0A6E">
    <w:pPr>
      <w:pStyle w:val="Rodap"/>
    </w:pPr>
  </w:p>
  <w:p w14:paraId="0225562D" w14:textId="77777777" w:rsidR="007E0A6E" w:rsidRDefault="007E0A6E">
    <w:pPr>
      <w:pStyle w:val="Rodap"/>
    </w:pPr>
  </w:p>
  <w:p w14:paraId="6D67ACAD" w14:textId="77777777" w:rsidR="007E0A6E" w:rsidRDefault="007E0A6E">
    <w:pPr>
      <w:pStyle w:val="Rodap"/>
    </w:pPr>
  </w:p>
  <w:p w14:paraId="3D5848C2" w14:textId="77777777" w:rsidR="007E0A6E" w:rsidRDefault="007E0A6E">
    <w:pPr>
      <w:pStyle w:val="Rodap"/>
    </w:pPr>
  </w:p>
  <w:p w14:paraId="7EEC1835" w14:textId="77777777" w:rsidR="007E0A6E" w:rsidRDefault="007E0A6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08C0D" w14:textId="77777777" w:rsidR="00E0187F" w:rsidRDefault="00E0187F" w:rsidP="007E0A6E">
      <w:r>
        <w:separator/>
      </w:r>
    </w:p>
  </w:footnote>
  <w:footnote w:type="continuationSeparator" w:id="0">
    <w:p w14:paraId="209DE540" w14:textId="77777777" w:rsidR="00E0187F" w:rsidRDefault="00E0187F" w:rsidP="007E0A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8FB3F" w14:textId="77777777" w:rsidR="007E0A6E" w:rsidRDefault="007E0A6E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672A6FDB" wp14:editId="621224E9">
          <wp:simplePos x="0" y="0"/>
          <wp:positionH relativeFrom="page">
            <wp:posOffset>-9525</wp:posOffset>
          </wp:positionH>
          <wp:positionV relativeFrom="paragraph">
            <wp:posOffset>-459105</wp:posOffset>
          </wp:positionV>
          <wp:extent cx="7556500" cy="10698480"/>
          <wp:effectExtent l="0" t="0" r="6350" b="7620"/>
          <wp:wrapNone/>
          <wp:docPr id="30021260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98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69B70CF" w14:textId="77777777" w:rsidR="007E0A6E" w:rsidRDefault="007E0A6E">
    <w:pPr>
      <w:pStyle w:val="Cabealho"/>
    </w:pPr>
  </w:p>
  <w:p w14:paraId="244395A2" w14:textId="77777777" w:rsidR="007E0A6E" w:rsidRDefault="007E0A6E">
    <w:pPr>
      <w:pStyle w:val="Cabealho"/>
    </w:pPr>
  </w:p>
  <w:p w14:paraId="4FD038EC" w14:textId="77777777" w:rsidR="007E0A6E" w:rsidRDefault="007E0A6E">
    <w:pPr>
      <w:pStyle w:val="Cabealho"/>
    </w:pPr>
  </w:p>
  <w:p w14:paraId="0224A41C" w14:textId="77777777" w:rsidR="007E0A6E" w:rsidRDefault="007E0A6E">
    <w:pPr>
      <w:pStyle w:val="Cabealho"/>
    </w:pPr>
  </w:p>
  <w:p w14:paraId="52B868A3" w14:textId="77777777" w:rsidR="007E0A6E" w:rsidRDefault="007E0A6E">
    <w:pPr>
      <w:pStyle w:val="Cabealho"/>
    </w:pPr>
  </w:p>
  <w:p w14:paraId="07932457" w14:textId="77777777" w:rsidR="007E0A6E" w:rsidRDefault="007E0A6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66771A"/>
    <w:multiLevelType w:val="hybridMultilevel"/>
    <w:tmpl w:val="CB6473DA"/>
    <w:lvl w:ilvl="0" w:tplc="11F0A4BE">
      <w:start w:val="1"/>
      <w:numFmt w:val="bullet"/>
      <w:lvlText w:val="●"/>
      <w:lvlJc w:val="left"/>
      <w:pPr>
        <w:ind w:left="720" w:hanging="360"/>
      </w:pPr>
    </w:lvl>
    <w:lvl w:ilvl="1" w:tplc="9BACA2B2">
      <w:start w:val="1"/>
      <w:numFmt w:val="bullet"/>
      <w:lvlText w:val="○"/>
      <w:lvlJc w:val="left"/>
      <w:pPr>
        <w:ind w:left="1440" w:hanging="360"/>
      </w:pPr>
    </w:lvl>
    <w:lvl w:ilvl="2" w:tplc="10F28CDC">
      <w:start w:val="1"/>
      <w:numFmt w:val="bullet"/>
      <w:lvlText w:val="■"/>
      <w:lvlJc w:val="left"/>
      <w:pPr>
        <w:ind w:left="2160" w:hanging="360"/>
      </w:pPr>
    </w:lvl>
    <w:lvl w:ilvl="3" w:tplc="61101570">
      <w:start w:val="1"/>
      <w:numFmt w:val="bullet"/>
      <w:lvlText w:val="●"/>
      <w:lvlJc w:val="left"/>
      <w:pPr>
        <w:ind w:left="2880" w:hanging="360"/>
      </w:pPr>
    </w:lvl>
    <w:lvl w:ilvl="4" w:tplc="B7C22662">
      <w:start w:val="1"/>
      <w:numFmt w:val="bullet"/>
      <w:lvlText w:val="○"/>
      <w:lvlJc w:val="left"/>
      <w:pPr>
        <w:ind w:left="3600" w:hanging="360"/>
      </w:pPr>
    </w:lvl>
    <w:lvl w:ilvl="5" w:tplc="C018D57E">
      <w:start w:val="1"/>
      <w:numFmt w:val="bullet"/>
      <w:lvlText w:val="■"/>
      <w:lvlJc w:val="left"/>
      <w:pPr>
        <w:ind w:left="4320" w:hanging="360"/>
      </w:pPr>
    </w:lvl>
    <w:lvl w:ilvl="6" w:tplc="E998268A">
      <w:start w:val="1"/>
      <w:numFmt w:val="bullet"/>
      <w:lvlText w:val="●"/>
      <w:lvlJc w:val="left"/>
      <w:pPr>
        <w:ind w:left="5040" w:hanging="360"/>
      </w:pPr>
    </w:lvl>
    <w:lvl w:ilvl="7" w:tplc="E07EF0E8">
      <w:start w:val="1"/>
      <w:numFmt w:val="bullet"/>
      <w:lvlText w:val="●"/>
      <w:lvlJc w:val="left"/>
      <w:pPr>
        <w:ind w:left="5760" w:hanging="360"/>
      </w:pPr>
    </w:lvl>
    <w:lvl w:ilvl="8" w:tplc="9F224A60">
      <w:start w:val="1"/>
      <w:numFmt w:val="bullet"/>
      <w:lvlText w:val="●"/>
      <w:lvlJc w:val="left"/>
      <w:pPr>
        <w:ind w:left="6480" w:hanging="360"/>
      </w:pPr>
    </w:lvl>
  </w:abstractNum>
  <w:num w:numId="1" w16cid:durableId="190822544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75C02"/>
    <w:rsid w:val="00144DA6"/>
    <w:rsid w:val="00175C02"/>
    <w:rsid w:val="001A7BCD"/>
    <w:rsid w:val="001F5969"/>
    <w:rsid w:val="00222055"/>
    <w:rsid w:val="002316B0"/>
    <w:rsid w:val="00285915"/>
    <w:rsid w:val="002A56F8"/>
    <w:rsid w:val="00350E7D"/>
    <w:rsid w:val="00435FC7"/>
    <w:rsid w:val="00463C78"/>
    <w:rsid w:val="005748E4"/>
    <w:rsid w:val="006A6DC9"/>
    <w:rsid w:val="006C2C95"/>
    <w:rsid w:val="00737550"/>
    <w:rsid w:val="007D2547"/>
    <w:rsid w:val="007E0A6E"/>
    <w:rsid w:val="00833219"/>
    <w:rsid w:val="0086592A"/>
    <w:rsid w:val="008D034F"/>
    <w:rsid w:val="00A40D21"/>
    <w:rsid w:val="00AB7FDB"/>
    <w:rsid w:val="00B100F7"/>
    <w:rsid w:val="00B92C63"/>
    <w:rsid w:val="00BF00A4"/>
    <w:rsid w:val="00D86368"/>
    <w:rsid w:val="00E0187F"/>
    <w:rsid w:val="00EA02A6"/>
    <w:rsid w:val="00F93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03E93"/>
  <w15:docId w15:val="{28B1EE94-768F-4911-9311-BCA19A57D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qFormat/>
    <w:pPr>
      <w:outlineLvl w:val="3"/>
    </w:pPr>
    <w:rPr>
      <w:i/>
      <w:iCs/>
      <w:color w:val="2E74B5"/>
    </w:rPr>
  </w:style>
  <w:style w:type="paragraph" w:styleId="Ttulo5">
    <w:name w:val="heading 5"/>
    <w:qFormat/>
    <w:pPr>
      <w:outlineLvl w:val="4"/>
    </w:pPr>
    <w:rPr>
      <w:color w:val="2E74B5"/>
    </w:rPr>
  </w:style>
  <w:style w:type="paragraph" w:styleId="Ttulo6">
    <w:name w:val="heading 6"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aliases w:val="Paragrafo,Lista Colorida - Ênfase 11"/>
    <w:link w:val="PargrafodaListaChar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7E0A6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E0A6E"/>
  </w:style>
  <w:style w:type="paragraph" w:styleId="Rodap">
    <w:name w:val="footer"/>
    <w:basedOn w:val="Normal"/>
    <w:link w:val="RodapChar"/>
    <w:uiPriority w:val="99"/>
    <w:unhideWhenUsed/>
    <w:rsid w:val="007E0A6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E0A6E"/>
  </w:style>
  <w:style w:type="paragraph" w:styleId="NormalWeb">
    <w:name w:val="Normal (Web)"/>
    <w:basedOn w:val="Normal"/>
    <w:uiPriority w:val="99"/>
    <w:semiHidden/>
    <w:unhideWhenUsed/>
    <w:rsid w:val="00463C78"/>
    <w:pPr>
      <w:spacing w:before="100" w:beforeAutospacing="1" w:after="100" w:afterAutospacing="1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63C7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63C78"/>
    <w:rPr>
      <w:rFonts w:ascii="Tahoma" w:hAnsi="Tahoma" w:cs="Tahoma"/>
      <w:sz w:val="16"/>
      <w:szCs w:val="16"/>
    </w:rPr>
  </w:style>
  <w:style w:type="character" w:customStyle="1" w:styleId="PargrafodaListaChar">
    <w:name w:val="Parágrafo da Lista Char"/>
    <w:aliases w:val="Paragrafo Char,Lista Colorida - Ênfase 11 Char"/>
    <w:link w:val="PargrafodaLista"/>
    <w:rsid w:val="007375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67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ibraop.org.br/wp-content/uploads/2021/04/OT_IBR_008_2020_projeto_executivo_26_04_2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12</Pages>
  <Words>5873</Words>
  <Characters>31718</Characters>
  <Application>Microsoft Office Word</Application>
  <DocSecurity>0</DocSecurity>
  <Lines>264</Lines>
  <Paragraphs>75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ANDRESSA TRIACCA</cp:lastModifiedBy>
  <cp:revision>16</cp:revision>
  <dcterms:created xsi:type="dcterms:W3CDTF">2026-09-10T16:44:00Z</dcterms:created>
  <dcterms:modified xsi:type="dcterms:W3CDTF">2026-09-16T17:16:00Z</dcterms:modified>
</cp:coreProperties>
</file>