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F5635" w14:textId="77777777" w:rsidR="00D42EEA" w:rsidRPr="0072788B" w:rsidRDefault="00000000" w:rsidP="00393E08">
      <w:pPr>
        <w:jc w:val="center"/>
        <w:rPr>
          <w:rFonts w:ascii="Times New Roman" w:hAnsi="Times New Roman" w:cs="Times New Roman"/>
        </w:rPr>
      </w:pPr>
      <w:r w:rsidRPr="0072788B">
        <w:rPr>
          <w:rFonts w:ascii="Times New Roman" w:hAnsi="Times New Roman" w:cs="Times New Roman"/>
        </w:rPr>
        <w:t>Secretaria Municipal de Educação, Cultura e Esporte</w:t>
      </w:r>
    </w:p>
    <w:p w14:paraId="77C52141" w14:textId="3AF72F62" w:rsidR="003F6167" w:rsidRPr="000C1DA0" w:rsidRDefault="003F6167" w:rsidP="00393E08">
      <w:pPr>
        <w:jc w:val="center"/>
        <w:rPr>
          <w:rFonts w:ascii="Times New Roman" w:hAnsi="Times New Roman" w:cs="Times New Roman"/>
        </w:rPr>
      </w:pPr>
      <w:r w:rsidRPr="000C1DA0">
        <w:rPr>
          <w:rFonts w:ascii="Times New Roman" w:hAnsi="Times New Roman" w:cs="Times New Roman"/>
        </w:rPr>
        <w:t xml:space="preserve">Solicitação nº </w:t>
      </w:r>
      <w:r w:rsidR="000C1DA0" w:rsidRPr="000C1DA0">
        <w:rPr>
          <w:rFonts w:ascii="Times New Roman" w:hAnsi="Times New Roman" w:cs="Times New Roman"/>
        </w:rPr>
        <w:t>41</w:t>
      </w:r>
      <w:r w:rsidRPr="000C1DA0">
        <w:rPr>
          <w:rFonts w:ascii="Times New Roman" w:hAnsi="Times New Roman" w:cs="Times New Roman"/>
        </w:rPr>
        <w:t>/2026</w:t>
      </w:r>
    </w:p>
    <w:p w14:paraId="5FDECB04" w14:textId="77777777" w:rsidR="003F6167" w:rsidRDefault="003F6167" w:rsidP="00393E08">
      <w:pPr>
        <w:jc w:val="center"/>
        <w:rPr>
          <w:rFonts w:ascii="Times New Roman" w:hAnsi="Times New Roman" w:cs="Times New Roman"/>
          <w:b/>
          <w:bCs/>
          <w:color w:val="1F4E79"/>
        </w:rPr>
      </w:pPr>
    </w:p>
    <w:p w14:paraId="4627C730" w14:textId="38DBB5EB" w:rsidR="00D42EEA" w:rsidRPr="00B30BDA" w:rsidRDefault="00000000" w:rsidP="00393E08">
      <w:pPr>
        <w:jc w:val="center"/>
        <w:rPr>
          <w:rFonts w:ascii="Times New Roman" w:hAnsi="Times New Roman" w:cs="Times New Roman"/>
        </w:rPr>
      </w:pPr>
      <w:r w:rsidRPr="00B30BDA">
        <w:rPr>
          <w:rFonts w:ascii="Times New Roman" w:hAnsi="Times New Roman" w:cs="Times New Roman"/>
          <w:b/>
          <w:bCs/>
        </w:rPr>
        <w:t>ESTUDO TÉCNICO PRELIMINAR</w:t>
      </w:r>
    </w:p>
    <w:p w14:paraId="55BD83C2" w14:textId="383DE1B6" w:rsidR="00D42EEA" w:rsidRPr="003F6167" w:rsidRDefault="00D42EEA" w:rsidP="00393E08">
      <w:pPr>
        <w:jc w:val="center"/>
        <w:rPr>
          <w:rFonts w:ascii="Times New Roman" w:hAnsi="Times New Roman" w:cs="Times New Roman"/>
        </w:rPr>
      </w:pPr>
    </w:p>
    <w:tbl>
      <w:tblPr>
        <w:tblW w:w="9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6"/>
      </w:tblGrid>
      <w:tr w:rsidR="00D42EEA" w:rsidRPr="003F6167" w14:paraId="79473D5C"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0D510C08"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t>1. Descrição da necessidade da contratação</w:t>
            </w:r>
          </w:p>
        </w:tc>
      </w:tr>
      <w:tr w:rsidR="00D42EEA" w:rsidRPr="003F6167" w14:paraId="5090DE81"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3F7A4F38"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 decoração natalina integra o calendário oficial de eventos de fim de ano do Município de Palmitos/SC, sendo elemento essencial para valorizar os espaços públicos, fortalecer a identidade cultural, fomentar o turismo local e promover o sentimento de pertencimento e celebração coletiva da comunidade.</w:t>
            </w:r>
          </w:p>
          <w:p w14:paraId="523DF9CC" w14:textId="1F174A3B"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 xml:space="preserve">O Município de Palmitos não dispõe de estrutura própria de decoração e iluminação natalina em quantidade e qualidade suficientes para atender às necessidades dos espaços públicos — </w:t>
            </w:r>
            <w:r w:rsidR="00376423" w:rsidRPr="00376423">
              <w:rPr>
                <w:rFonts w:ascii="Times New Roman" w:hAnsi="Times New Roman" w:cs="Times New Roman"/>
                <w:color w:val="000000"/>
              </w:rPr>
              <w:t>praças, avenidas e demais logradouros públicos</w:t>
            </w:r>
            <w:r w:rsidRPr="003F6167">
              <w:rPr>
                <w:rFonts w:ascii="Times New Roman" w:hAnsi="Times New Roman" w:cs="Times New Roman"/>
                <w:color w:val="000000"/>
              </w:rPr>
              <w:t>— durante o período das festividades de fim de ano. A ausência de acervo próprio adequado decorre de limitações relacionadas ao custo elevado de aquisição definitiva dos materiais, às despesas de armazenagem, manutenção e conservação ao longo do ano, à necessidade de atualização periódica das peças para renovação estética e ao volume de esforço técnico e logístico necessário à instalação, manutenção e desmontagem das estruturas.</w:t>
            </w:r>
          </w:p>
          <w:p w14:paraId="2EA4FAE0" w14:textId="77777777" w:rsidR="00D42EEA" w:rsidRDefault="00000000" w:rsidP="00393E08">
            <w:pPr>
              <w:jc w:val="both"/>
              <w:rPr>
                <w:rFonts w:ascii="Times New Roman" w:hAnsi="Times New Roman" w:cs="Times New Roman"/>
                <w:color w:val="000000"/>
              </w:rPr>
            </w:pPr>
            <w:r w:rsidRPr="003F6167">
              <w:rPr>
                <w:rFonts w:ascii="Times New Roman" w:hAnsi="Times New Roman" w:cs="Times New Roman"/>
                <w:color w:val="000000"/>
              </w:rPr>
              <w:t>A falta de decoração natalina adequada nos espaços públicos municipais impacta negativamente: a identidade visual da cidade durante o período festivo; a experiência dos munícipes e visitantes nas áreas públicas; a movimentação do comércio local, que se beneficia do fluxo gerado pelos eventos e pela decoração; e a imagem institucional do Município como espaço vivo, acolhedor e comprometido com a valorização cultural.</w:t>
            </w:r>
          </w:p>
          <w:p w14:paraId="7B5C63DC" w14:textId="1D513793" w:rsidR="00517FD5" w:rsidRPr="003F6167" w:rsidRDefault="00517FD5" w:rsidP="00393E08">
            <w:pPr>
              <w:jc w:val="both"/>
              <w:rPr>
                <w:rFonts w:ascii="Times New Roman" w:hAnsi="Times New Roman" w:cs="Times New Roman"/>
              </w:rPr>
            </w:pPr>
            <w:r w:rsidRPr="00517FD5">
              <w:rPr>
                <w:rFonts w:ascii="Times New Roman" w:hAnsi="Times New Roman" w:cs="Times New Roman"/>
              </w:rPr>
              <w:t>Ao iluminar as ruas, avenidas</w:t>
            </w:r>
            <w:r>
              <w:rPr>
                <w:rFonts w:ascii="Times New Roman" w:hAnsi="Times New Roman" w:cs="Times New Roman"/>
              </w:rPr>
              <w:t xml:space="preserve"> e</w:t>
            </w:r>
            <w:r w:rsidRPr="00517FD5">
              <w:rPr>
                <w:rFonts w:ascii="Times New Roman" w:hAnsi="Times New Roman" w:cs="Times New Roman"/>
              </w:rPr>
              <w:t xml:space="preserve"> praça do município, estaremos proporcionando uma experiência visual que estimula a alegria e a união, características intrínsecas do período natalino. A ambientação do espaço urbano através da iluminação natalina, adornos e árvores decorativas não só embeleza o município, mas também sensibiliza a população para a importância de valores como a solidariedade e a fraternidade, que são evidentes nesse momento do ano.</w:t>
            </w:r>
          </w:p>
          <w:p w14:paraId="0A392F35"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 contratação por locação — em vez da aquisição definitiva — mostra-se mais adequada por proporcionar: maior diversidade e renovação estética anual; melhor custo-benefício, eliminando despesas de armazenagem, manutenção e conservação de acervo próprio; segurança técnica na instalação e desmontagem, a cargo de empresa especializada; e maior flexibilidade orçamentária, com aplicação dos recursos apenas no período de utilização efetiva.</w:t>
            </w:r>
          </w:p>
          <w:p w14:paraId="4ED4B0D6"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 contratação fundamenta-se ainda no dever constitucional do Estado de garantir o pleno exercício dos direitos culturais e o acesso às fontes da cultura nacional, apoiando e incentivando a valorização e a difusão das manifestações culturais (art. 215 da Constituição Federal), bem como na competência municipal de promover a cultura e o lazer (arts. 23, V, e 30, IX, da CF/1988).</w:t>
            </w:r>
          </w:p>
        </w:tc>
      </w:tr>
      <w:tr w:rsidR="00D42EEA" w:rsidRPr="003F6167" w14:paraId="1393179A"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60B4CFC1"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t>2. Previsão no Plano de Contratações Anual</w:t>
            </w:r>
          </w:p>
        </w:tc>
      </w:tr>
      <w:tr w:rsidR="00D42EEA" w:rsidRPr="003F6167" w14:paraId="407883A1"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669155BB"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O Município de Palmitos/SC ainda não implantou formalmente o Plano de Contratações Anual (PCA), razão pela qual a presente contratação não consta de instrumento de planejamento formalizado nesse formato.</w:t>
            </w:r>
          </w:p>
          <w:p w14:paraId="7092DB4B"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Não obstante, a contratação está alinhada ao planejamento estratégico e ao calendário cultural oficial da gestão municipal, que tem como diretriz a promoção de eventos e manifestações culturais nas datas comemorativas relevantes, incluindo as festividades natalinas. A demanda é previsível, recorrente e alinhada à programação anual da Secretaria Municipal de Educação, Cultura e Esporte.</w:t>
            </w:r>
          </w:p>
          <w:p w14:paraId="4CF3CFD2"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Recomenda-se que o Município implante o PCA para os exercícios subsequentes, incluindo a previsão da contratação de decoração natalina como demanda recorrente, em conformidade com o art. 12, VII, da Lei nº 14.133/2021 e orientações do TCE/SC sobre planejamento das contratações públicas municipais.</w:t>
            </w:r>
          </w:p>
        </w:tc>
      </w:tr>
      <w:tr w:rsidR="00D42EEA" w:rsidRPr="003F6167" w14:paraId="49DD2AF8"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6A5E973F"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t>3. Requisitos da contratação</w:t>
            </w:r>
          </w:p>
        </w:tc>
      </w:tr>
      <w:tr w:rsidR="00D42EEA" w:rsidRPr="003F6167" w14:paraId="39BCE567"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08587243"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Para a adequada execução do objeto, a empresa a ser contratada deverá atender aos seguintes requisitos mínimos:</w:t>
            </w:r>
          </w:p>
          <w:p w14:paraId="3C48D561"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3.1 Capacidade técnica e operacional:</w:t>
            </w:r>
          </w:p>
          <w:p w14:paraId="512EC5A6"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Experiência comprovada em locação, instalação e manutenção de decoração natalina e iluminação temática em espaços públicos, demonstrada por atestado(s) de capacidade técnica emitido(s) por pessoa jurídica de direito público ou privado.</w:t>
            </w:r>
          </w:p>
          <w:p w14:paraId="0A61623A"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lastRenderedPageBreak/>
              <w:t>Equipe técnica qualificada para montagem, manutenção durante o período de exposição e desmontagem dentro dos prazos estabelecidos, com comprovação de capacitação para trabalho em altura (NR-35) quando aplicável.</w:t>
            </w:r>
          </w:p>
          <w:p w14:paraId="301819C7"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3.2 Qualidade e conformidade dos materiais:</w:t>
            </w:r>
          </w:p>
          <w:p w14:paraId="27A1A88F"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Todos os itens locados deverão ser novos ou em ótimo estado de conservação, sem sinais de avaria, oxidação ou funcionamento irregular.</w:t>
            </w:r>
          </w:p>
          <w:p w14:paraId="7FCC3170" w14:textId="77777777" w:rsidR="00D42EEA" w:rsidRPr="00465EA1"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Os equipamentos elétricos deverão possuir certificação compatível com as normas de segurança elétrica e estrutural, incluindo proteção IP44 ou superior para uso externo, conforme especificações de cada item.</w:t>
            </w:r>
          </w:p>
          <w:p w14:paraId="2A8F90DA" w14:textId="480B86E0" w:rsidR="00465EA1" w:rsidRPr="003F6167" w:rsidRDefault="00465EA1" w:rsidP="00393E08">
            <w:pPr>
              <w:pStyle w:val="PargrafodaLista"/>
              <w:numPr>
                <w:ilvl w:val="0"/>
                <w:numId w:val="2"/>
              </w:numPr>
              <w:jc w:val="both"/>
              <w:rPr>
                <w:rFonts w:ascii="Times New Roman" w:hAnsi="Times New Roman" w:cs="Times New Roman"/>
              </w:rPr>
            </w:pPr>
            <w:r w:rsidRPr="00465EA1">
              <w:rPr>
                <w:rFonts w:ascii="Times New Roman" w:hAnsi="Times New Roman" w:cs="Times New Roman"/>
              </w:rPr>
              <w:t>Todos os circuitos deverão possuir proteção por disjuntores e conexões apropriadas para uso externo, sendo vedadas emendas expostas, cabos danificados ou instalações em desacordo com as normas da ABNT NBR 5410</w:t>
            </w:r>
          </w:p>
          <w:p w14:paraId="57919E6E"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As estruturas metálicas deverão ser galvanizadas ou tratadas para uso externo, com pintura em epóxi eletrostático resistente às intempéries.</w:t>
            </w:r>
          </w:p>
          <w:p w14:paraId="0877CED6"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Os elementos de iluminação deverão ser compostos por lâmpadas LED de baixo consumo energético, em conformidade com as especificações técnicas de cada item.</w:t>
            </w:r>
          </w:p>
          <w:p w14:paraId="6A4D6A0F"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3.3 Responsabilidade técnica:</w:t>
            </w:r>
          </w:p>
          <w:p w14:paraId="36EAA22F"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Apresentação de Anotação de Responsabilidade Técnica (ART) ou Registro de Responsabilidade Técnica (RRT) para os serviços de instalação elétrica e estrutural, quando aplicável, emitida por profissional habilitado junto ao respectivo Conselho profissional.</w:t>
            </w:r>
          </w:p>
          <w:p w14:paraId="625CABA8"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Indicação de responsável técnico pela execução dos serviços, desde a instalação até a desmontagem.</w:t>
            </w:r>
          </w:p>
          <w:p w14:paraId="577EE6B3"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3.4 Logística e suporte:</w:t>
            </w:r>
          </w:p>
          <w:p w14:paraId="3A65420F"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A contratada deverá arcar com todos os custos de transporte, frete, carga, descarga e seguro dos materiais do local de armazenamento até os locais de instalação no Município de Palmitos/SC e no retorno após a desmontagem.</w:t>
            </w:r>
          </w:p>
          <w:p w14:paraId="59A41BE7"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Deverá ser apresentado cronograma de instalação e desmontagem previamente aprovado pela Administração, com prazos compatíveis com o calendário das festividades.</w:t>
            </w:r>
          </w:p>
          <w:p w14:paraId="07CF60B0" w14:textId="76E35EFE" w:rsidR="00D42EEA" w:rsidRPr="003F6167" w:rsidRDefault="00465EA1" w:rsidP="00393E08">
            <w:pPr>
              <w:pStyle w:val="PargrafodaLista"/>
              <w:numPr>
                <w:ilvl w:val="0"/>
                <w:numId w:val="2"/>
              </w:numPr>
              <w:jc w:val="both"/>
              <w:rPr>
                <w:rFonts w:ascii="Times New Roman" w:hAnsi="Times New Roman" w:cs="Times New Roman"/>
              </w:rPr>
            </w:pPr>
            <w:r w:rsidRPr="00465EA1">
              <w:rPr>
                <w:rFonts w:ascii="Times New Roman" w:hAnsi="Times New Roman" w:cs="Times New Roman"/>
                <w:color w:val="000000"/>
              </w:rPr>
              <w:t>A contratada deverá manter equipe de plantão durante todo o período de exposição, realizando atendimento em até 24 horas, e em até 4 horas quando houver risco à segurança ou interrupção total da iluminação de ponto principal</w:t>
            </w:r>
            <w:r w:rsidRPr="003F6167">
              <w:rPr>
                <w:rFonts w:ascii="Times New Roman" w:hAnsi="Times New Roman" w:cs="Times New Roman"/>
                <w:color w:val="000000"/>
              </w:rPr>
              <w:t>.</w:t>
            </w:r>
          </w:p>
        </w:tc>
      </w:tr>
      <w:tr w:rsidR="00D42EEA" w:rsidRPr="003F6167" w14:paraId="4B8B938C"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1EB9735E"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lastRenderedPageBreak/>
              <w:t>4. Levantamento de mercado — análise das alternativas possíveis</w:t>
            </w:r>
          </w:p>
        </w:tc>
      </w:tr>
      <w:tr w:rsidR="00D42EEA" w:rsidRPr="003F6167" w14:paraId="620658AD"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04495C3D"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Para definição da solução mais adequada ao atendimento da necessidade identificada, foram analisadas as seguintes alternativas:</w:t>
            </w:r>
          </w:p>
          <w:p w14:paraId="5AF690B6"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a) Aquisição definitiva dos materiais decorativos:</w:t>
            </w:r>
          </w:p>
          <w:p w14:paraId="401A8A7B"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Alternativa tecnicamente possível, mas economicamente desvantajosa. A compra definitiva dos materiais implicaria: elevado investimento inicial, com necessidade de licitação de maior porte; custos permanentes de armazenagem, manutenção e conservação do acervo ao longo do ano; necessidade de atualização periódica das peças para renovação estética; imobilização de recursos públicos em bens de uso sazonal (concentrado em aproximadamente 60 dias por ano); e necessidade de equipe técnica própria para instalação, manutenção e desmontagem. Além disso, peças decorativas natalinas possuem vida útil estética limitada, tornando-se desatualizadas ao longo dos anos.</w:t>
            </w:r>
          </w:p>
          <w:p w14:paraId="7D67C287"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b) Execução direta pela Administração com materiais próprios existentes:</w:t>
            </w:r>
          </w:p>
          <w:p w14:paraId="347F197E" w14:textId="069A94CB"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Inviável no contexto atual do Município, que não dispõe de acervo próprio suficiente em quantidade e qualidade para decorar os espaços públicos planejados, tampouco de equipe técnica especializada, equipamentos de instalação (como munck) e veículos de transporte adequados ao porte das estruturas previstas.</w:t>
            </w:r>
          </w:p>
          <w:p w14:paraId="0B01CB72"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c) Locação de solução integrada (decoração + instalação + manutenção + desmontagem) — SOLUÇÃO ADOTADA:</w:t>
            </w:r>
          </w:p>
          <w:p w14:paraId="5EE691A1"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 locação de solução integrada de empresa especializada mostrou-se a alternativa mais adequada técnica e economicamente, por: eliminar custos de armazenagem, manutenção permanente e atualização de acervo; concentrar em um único contratado a responsabilidade pela qualidade estética, segurança estrutural e elétrica, instalação, manutenção e desmontagem; permitir renovação estética anual sem custo adicional de aquisição; adequar-se ao caráter sazonal do objeto; e garantir maior eficiência orçamentária, com aplicação dos recursos apenas no período de utilização.</w:t>
            </w:r>
          </w:p>
          <w:p w14:paraId="4E6DB6B0"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lastRenderedPageBreak/>
              <w:t>O levantamento de mercado identificou ampla disponibilidade de empresas aptas ao fornecimento do objeto, especialmente na região Oeste e no estado de Santa Catarina, confirmando a viabilidade competitiva da licitação. Foram analisadas contratações similares realizadas por outros municípios catarinenses — como Ipumirim/SC (R$ 64.620,00 em 2025) e Nova Trento/SC (R$ 160.000,00 em 2025) — o que confirma a adequação da solução de locação para esse tipo de objeto no âmbito municipal.</w:t>
            </w:r>
          </w:p>
        </w:tc>
      </w:tr>
      <w:tr w:rsidR="00D42EEA" w:rsidRPr="003F6167" w14:paraId="076359D0"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2884BD6A"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lastRenderedPageBreak/>
              <w:t>5. Estimativa das quantidades para a contratação</w:t>
            </w:r>
          </w:p>
        </w:tc>
      </w:tr>
      <w:tr w:rsidR="00D42EEA" w:rsidRPr="003F6167" w14:paraId="77B666B7"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08BD2198" w14:textId="74BC736D" w:rsidR="00D42EEA" w:rsidRPr="00C64D9E" w:rsidRDefault="00000000" w:rsidP="00393E08">
            <w:pPr>
              <w:jc w:val="both"/>
              <w:rPr>
                <w:rFonts w:ascii="Times New Roman" w:hAnsi="Times New Roman" w:cs="Times New Roman"/>
              </w:rPr>
            </w:pPr>
            <w:r w:rsidRPr="003F6167">
              <w:rPr>
                <w:rFonts w:ascii="Times New Roman" w:hAnsi="Times New Roman" w:cs="Times New Roman"/>
                <w:color w:val="000000"/>
              </w:rPr>
              <w:t xml:space="preserve">Os quantitativos foram definidos com base no levantamento dos espaços públicos a serem decorados (praças, avenidas e logradouros centrais do Município), nas necessidades identificadas </w:t>
            </w:r>
            <w:r w:rsidRPr="00C64D9E">
              <w:rPr>
                <w:rFonts w:ascii="Times New Roman" w:hAnsi="Times New Roman" w:cs="Times New Roman"/>
              </w:rPr>
              <w:t>pela Secretaria Municipal de Educação, Cultura e Esporte e na proposta técnica obtida junto a fornecedor especializado do setor, que serviu de referência para a composição do objeto.</w:t>
            </w:r>
          </w:p>
          <w:p w14:paraId="5ABE7F1C"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 contratação será realizada em lote único (lote global), compreendendo 21 itens, conforme tabela a seguir:</w:t>
            </w:r>
          </w:p>
          <w:p w14:paraId="591F4C88" w14:textId="77777777" w:rsidR="00D42EEA" w:rsidRPr="003F6167" w:rsidRDefault="00D42EEA" w:rsidP="00393E08">
            <w:pPr>
              <w:rPr>
                <w:rFonts w:ascii="Times New Roman" w:hAnsi="Times New Roman" w:cs="Times New Roman"/>
              </w:rPr>
            </w:pPr>
          </w:p>
          <w:tbl>
            <w:tblPr>
              <w:tblW w:w="8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7"/>
              <w:gridCol w:w="732"/>
              <w:gridCol w:w="732"/>
              <w:gridCol w:w="6802"/>
            </w:tblGrid>
            <w:tr w:rsidR="003F6167" w:rsidRPr="003F6167" w14:paraId="4BA1195B"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1F4E79"/>
                  <w:tcMar>
                    <w:top w:w="55" w:type="dxa"/>
                    <w:left w:w="70" w:type="dxa"/>
                    <w:bottom w:w="55" w:type="dxa"/>
                    <w:right w:w="70" w:type="dxa"/>
                  </w:tcMar>
                </w:tcPr>
                <w:p w14:paraId="20C7E4CF"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b/>
                      <w:bCs/>
                      <w:color w:val="FFFFFF"/>
                    </w:rPr>
                    <w:t>Item</w:t>
                  </w:r>
                </w:p>
              </w:tc>
              <w:tc>
                <w:tcPr>
                  <w:tcW w:w="732" w:type="dxa"/>
                  <w:tcBorders>
                    <w:top w:val="single" w:sz="5" w:space="0" w:color="AAAAAA"/>
                    <w:left w:val="single" w:sz="5" w:space="0" w:color="AAAAAA"/>
                    <w:bottom w:val="single" w:sz="5" w:space="0" w:color="AAAAAA"/>
                    <w:right w:val="single" w:sz="5" w:space="0" w:color="AAAAAA"/>
                  </w:tcBorders>
                  <w:shd w:val="clear" w:color="auto" w:fill="1F4E79"/>
                  <w:tcMar>
                    <w:top w:w="55" w:type="dxa"/>
                    <w:left w:w="70" w:type="dxa"/>
                    <w:bottom w:w="55" w:type="dxa"/>
                    <w:right w:w="70" w:type="dxa"/>
                  </w:tcMar>
                </w:tcPr>
                <w:p w14:paraId="2FA1A627"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b/>
                      <w:bCs/>
                      <w:color w:val="FFFFFF"/>
                    </w:rPr>
                    <w:t>Qtd.</w:t>
                  </w:r>
                </w:p>
              </w:tc>
              <w:tc>
                <w:tcPr>
                  <w:tcW w:w="732" w:type="dxa"/>
                  <w:tcBorders>
                    <w:top w:val="single" w:sz="5" w:space="0" w:color="AAAAAA"/>
                    <w:left w:val="single" w:sz="5" w:space="0" w:color="AAAAAA"/>
                    <w:bottom w:val="single" w:sz="5" w:space="0" w:color="AAAAAA"/>
                    <w:right w:val="single" w:sz="5" w:space="0" w:color="AAAAAA"/>
                  </w:tcBorders>
                  <w:shd w:val="clear" w:color="auto" w:fill="1F4E79"/>
                  <w:tcMar>
                    <w:top w:w="55" w:type="dxa"/>
                    <w:left w:w="70" w:type="dxa"/>
                    <w:bottom w:w="55" w:type="dxa"/>
                    <w:right w:w="70" w:type="dxa"/>
                  </w:tcMar>
                </w:tcPr>
                <w:p w14:paraId="676FEE8C"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b/>
                      <w:bCs/>
                      <w:color w:val="FFFFFF"/>
                    </w:rPr>
                    <w:t>Unid.</w:t>
                  </w:r>
                </w:p>
              </w:tc>
              <w:tc>
                <w:tcPr>
                  <w:tcW w:w="6802" w:type="dxa"/>
                  <w:tcBorders>
                    <w:top w:val="single" w:sz="5" w:space="0" w:color="AAAAAA"/>
                    <w:left w:val="single" w:sz="5" w:space="0" w:color="AAAAAA"/>
                    <w:bottom w:val="single" w:sz="5" w:space="0" w:color="AAAAAA"/>
                    <w:right w:val="single" w:sz="5" w:space="0" w:color="AAAAAA"/>
                  </w:tcBorders>
                  <w:shd w:val="clear" w:color="auto" w:fill="1F4E79"/>
                  <w:tcMar>
                    <w:top w:w="55" w:type="dxa"/>
                    <w:left w:w="70" w:type="dxa"/>
                    <w:bottom w:w="55" w:type="dxa"/>
                    <w:right w:w="70" w:type="dxa"/>
                  </w:tcMar>
                </w:tcPr>
                <w:p w14:paraId="4C1F5C88"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b/>
                      <w:bCs/>
                      <w:color w:val="FFFFFF"/>
                    </w:rPr>
                    <w:t>Descrição</w:t>
                  </w:r>
                </w:p>
              </w:tc>
            </w:tr>
            <w:tr w:rsidR="003F6167" w:rsidRPr="003F6167" w14:paraId="0DD0C5C4"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7E5689CD"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8F18431"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03</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44693C6B"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43FAEF0"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Estrela engrossada com abertura central (1,60m x 1,60m x 0,20m), estrutura metálica, mangueira LED 12mm 42 lâm/m, tela prata, cordão LED IP44</w:t>
                  </w:r>
                </w:p>
              </w:tc>
            </w:tr>
            <w:tr w:rsidR="003F6167" w:rsidRPr="003F6167" w14:paraId="645780CE"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D3FB178"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02</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2F880417"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04</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011A260"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F8F0350"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Estrela engrossada com abertura central (1,30m x 1,30m x 0,20m), estrutura metálica, mangueira LED 12mm 42 lâm/m, tela prata, cordão LED IP44</w:t>
                  </w:r>
                </w:p>
              </w:tc>
            </w:tr>
            <w:tr w:rsidR="003F6167" w:rsidRPr="003F6167" w14:paraId="4BB79E3A"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BF55646"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03</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DFB836F"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4EE2885"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F953F13"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Estrela engrossada com abertura central (1,00m x 1,00m x 0,20m), estrutura metálica, mangueira LED 12mm 42 lâm/m, tela prata, cordão LED IP44</w:t>
                  </w:r>
                </w:p>
              </w:tc>
            </w:tr>
            <w:tr w:rsidR="003F6167" w:rsidRPr="003F6167" w14:paraId="7B51F4A8"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E3DE718"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04</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7D75D43"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03</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6C218923"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D96ED96"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Árvore geométrica composta por quatro camadas (1,70m x 0,95m x 0,30m), estrutura metálica, mangueira LED, tela prata, cordão LED IP44</w:t>
                  </w:r>
                </w:p>
              </w:tc>
            </w:tr>
            <w:tr w:rsidR="003F6167" w:rsidRPr="003F6167" w14:paraId="6C69E879"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223C1CD"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05</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0CE9730"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85</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08ACB61"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37A911E5"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Painel de arabescos com laço e estrelas (1,60m x 0,80m), sistema de fixação para postes, estrutura metálica, mangueira LED, tela prata, cordão LED IP44</w:t>
                  </w:r>
                </w:p>
              </w:tc>
            </w:tr>
            <w:tr w:rsidR="003F6167" w:rsidRPr="003F6167" w14:paraId="7C69F601"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36085781"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06</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7911B8EA"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02</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37EFED08"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A6527D9"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Vela tridimensional com chama (1,50m x 0,40m x 0,40m), estrutura metálica, mangueira LED, tela prata, cordão LED IP44</w:t>
                  </w:r>
                </w:p>
              </w:tc>
            </w:tr>
            <w:tr w:rsidR="003F6167" w:rsidRPr="003F6167" w14:paraId="27601242"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80F86F8"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07</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6B97C48"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02</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24E1CC18"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55F8AD1"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Vela tridimensional com chama (1,30m x 0,30m x 0,30m), estrutura metálica, mangueira LED, tela prata, cordão LED IP44</w:t>
                  </w:r>
                </w:p>
              </w:tc>
            </w:tr>
            <w:tr w:rsidR="003F6167" w:rsidRPr="003F6167" w14:paraId="7B071E2E"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2BA929FF"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08</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3BCE213"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10</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0399C7D"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4D3539FB"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Portal no formato de estrela com abertura (3,50m x 3,70m), 3 pontas superiores, passagem de pessoas, estrutura metálica, mangueira LED, tela prata, cordão LED IP44</w:t>
                  </w:r>
                </w:p>
              </w:tc>
            </w:tr>
            <w:tr w:rsidR="003F6167" w:rsidRPr="003F6167" w14:paraId="7B71178C"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B1DB93B"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09</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E57E347"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06</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2CB6E247"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7F137C34"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Anjo com trombeta tridimensional (1,90m x 1,65m x 0,70m), estrutura metálica, mangueira LED, tela prata, cordão LED IP44</w:t>
                  </w:r>
                </w:p>
              </w:tc>
            </w:tr>
            <w:tr w:rsidR="003F6167" w:rsidRPr="003F6167" w14:paraId="27C844F1"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3CA15EE7"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10</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5C2A64D"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02</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67729E67"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3333CBBB"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Painel Sagrada Família com escrita 'Cristo Vive' (2,70m x 8,00m), estrutura metálica, mangueira LED, tela prata, cordão LED IP44</w:t>
                  </w:r>
                </w:p>
              </w:tc>
            </w:tr>
            <w:tr w:rsidR="003F6167" w:rsidRPr="003F6167" w14:paraId="5D0C6989"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4909A1CC"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190FD8F"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25C0063"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E879A9A"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Painel escrita 'Boas Festas' (1,20m x 5,00m), letra cursiva, estrutura metálica, mangueira LED, retificadores IP44</w:t>
                  </w:r>
                </w:p>
              </w:tc>
            </w:tr>
            <w:tr w:rsidR="003F6167" w:rsidRPr="003F6167" w14:paraId="376B6FBA"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40399EE3"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12</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7D913670"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46E26DEF"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77A03E6A"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Árvore redonda com asas (6,00m x 3,00m x 3,00m), duas asas com 5 voltas, LED branco frio nas asas, LED branco quente na árvore, IP44</w:t>
                  </w:r>
                </w:p>
              </w:tc>
            </w:tr>
            <w:tr w:rsidR="003F6167" w:rsidRPr="003F6167" w14:paraId="087F1323"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2FAA0EA9"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13</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2A0125F0"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10</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919390A"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27ADE7BC"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Cascata 400 LED com strobo (340 fixos, 60 strobo), 10m comprimento, 50 caídas, fio branco, IP44, fonte retificadora IP65, 220V</w:t>
                  </w:r>
                </w:p>
              </w:tc>
            </w:tr>
            <w:tr w:rsidR="003F6167" w:rsidRPr="003F6167" w14:paraId="41FE1572"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E0DDCCA"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14</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44DBF844"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10</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45D01C19"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Rolo</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BD2CB4A"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Mangueira luminosa 42 LED/m com strobo (12mm), rolo 100m, uso externo, IP44, 220V, cor branco quente</w:t>
                  </w:r>
                </w:p>
              </w:tc>
            </w:tr>
            <w:tr w:rsidR="003F6167" w:rsidRPr="003F6167" w14:paraId="41C74190"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4B8989BC"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15</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7675CA89"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FE7D06C"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B339362"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Árvore de faixas futurista com Estrela de Belém na ponta (4,50m x 2,25m x 2,25m), estrutura metálica, mangueira LED, tela prata, cordão LED IP44</w:t>
                  </w:r>
                </w:p>
              </w:tc>
            </w:tr>
            <w:tr w:rsidR="003F6167" w:rsidRPr="003F6167" w14:paraId="5423B029"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42AFC2B"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16</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018C2B4"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60F25F5C"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Kit</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4D4142CF"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Árvore natalina 2,10m, 936 galhos, pé de ferro, decorada com bolas, flores, hastes e cordão LED 25m/250 lâmpadas</w:t>
                  </w:r>
                </w:p>
              </w:tc>
            </w:tr>
            <w:tr w:rsidR="003F6167" w:rsidRPr="003F6167" w14:paraId="5F1FA911"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3EB68430" w14:textId="46337FAE"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lastRenderedPageBreak/>
                    <w:t>1</w:t>
                  </w:r>
                  <w:r w:rsidR="00763D3D">
                    <w:rPr>
                      <w:rFonts w:ascii="Times New Roman" w:hAnsi="Times New Roman" w:cs="Times New Roman"/>
                      <w:color w:val="000000"/>
                    </w:rPr>
                    <w:t>7</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7AFA0D96"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08</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65E81FC3"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51767D1"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Escultura espiral tridimensional para árvores e postes (2,00m x 1,00m x 1,00m), estrutura metálica, mangueira LED, tela prata, cordão LED IP44</w:t>
                  </w:r>
                </w:p>
              </w:tc>
            </w:tr>
            <w:tr w:rsidR="003F6167" w:rsidRPr="003F6167" w14:paraId="79669C8F"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5CA5DB0C" w14:textId="2569FF30"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1</w:t>
                  </w:r>
                  <w:r w:rsidR="00763D3D">
                    <w:rPr>
                      <w:rFonts w:ascii="Times New Roman" w:hAnsi="Times New Roman" w:cs="Times New Roman"/>
                      <w:color w:val="000000"/>
                    </w:rPr>
                    <w:t>8</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61D14E73"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35BB6B9E"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721C5E11"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Árvore espiral com faixas e Estrela de Belém no topo (4,50m x 2,25m x 2,25m), estrutura metálica, mangueira LED, tela prata, cordão LED IP44</w:t>
                  </w:r>
                </w:p>
              </w:tc>
            </w:tr>
            <w:tr w:rsidR="003F6167" w:rsidRPr="003F6167" w14:paraId="25143B43"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7091082B" w14:textId="34969CD4" w:rsidR="003F6167" w:rsidRPr="003F6167" w:rsidRDefault="00763D3D" w:rsidP="00393E08">
                  <w:pPr>
                    <w:jc w:val="center"/>
                    <w:rPr>
                      <w:rFonts w:ascii="Times New Roman" w:hAnsi="Times New Roman" w:cs="Times New Roman"/>
                    </w:rPr>
                  </w:pPr>
                  <w:r>
                    <w:rPr>
                      <w:rFonts w:ascii="Times New Roman" w:hAnsi="Times New Roman" w:cs="Times New Roman"/>
                      <w:color w:val="000000"/>
                    </w:rPr>
                    <w:t>19</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06F33AF5"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3C297AAF"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E544F76"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Casinha do Papai Noel em madeira de eucalipto (3,00m x 3,00m x 3,52m), com base de concreto, cerca, pintura, iluminação elétrica, portas e janelas coloniais, instalação inclusa</w:t>
                  </w:r>
                </w:p>
              </w:tc>
            </w:tr>
            <w:tr w:rsidR="003F6167" w:rsidRPr="003F6167" w14:paraId="03C462D2" w14:textId="77777777" w:rsidTr="003F6167">
              <w:tc>
                <w:tcPr>
                  <w:tcW w:w="627"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14324133" w14:textId="76B142D8"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2</w:t>
                  </w:r>
                  <w:r w:rsidR="00763D3D">
                    <w:rPr>
                      <w:rFonts w:ascii="Times New Roman" w:hAnsi="Times New Roman" w:cs="Times New Roman"/>
                      <w:color w:val="000000"/>
                    </w:rPr>
                    <w:t>0</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66FBFC6B"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01</w:t>
                  </w:r>
                </w:p>
              </w:tc>
              <w:tc>
                <w:tcPr>
                  <w:tcW w:w="73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6C0F8C3B" w14:textId="77777777" w:rsidR="003F6167" w:rsidRPr="003F6167" w:rsidRDefault="003F6167" w:rsidP="00393E08">
                  <w:pPr>
                    <w:jc w:val="center"/>
                    <w:rPr>
                      <w:rFonts w:ascii="Times New Roman" w:hAnsi="Times New Roman" w:cs="Times New Roman"/>
                    </w:rPr>
                  </w:pPr>
                  <w:r w:rsidRPr="003F6167">
                    <w:rPr>
                      <w:rFonts w:ascii="Times New Roman" w:hAnsi="Times New Roman" w:cs="Times New Roman"/>
                      <w:color w:val="000000"/>
                    </w:rPr>
                    <w:t>Und</w:t>
                  </w:r>
                </w:p>
              </w:tc>
              <w:tc>
                <w:tcPr>
                  <w:tcW w:w="6802" w:type="dxa"/>
                  <w:tcBorders>
                    <w:top w:val="single" w:sz="5" w:space="0" w:color="AAAAAA"/>
                    <w:left w:val="single" w:sz="5" w:space="0" w:color="AAAAAA"/>
                    <w:bottom w:val="single" w:sz="5" w:space="0" w:color="AAAAAA"/>
                    <w:right w:val="single" w:sz="5" w:space="0" w:color="AAAAAA"/>
                  </w:tcBorders>
                  <w:shd w:val="clear" w:color="auto" w:fill="FFFFFF"/>
                  <w:tcMar>
                    <w:top w:w="55" w:type="dxa"/>
                    <w:left w:w="70" w:type="dxa"/>
                    <w:bottom w:w="55" w:type="dxa"/>
                    <w:right w:w="70" w:type="dxa"/>
                  </w:tcMar>
                </w:tcPr>
                <w:p w14:paraId="2B839AD6" w14:textId="77777777" w:rsidR="003F6167" w:rsidRPr="003F6167" w:rsidRDefault="003F6167" w:rsidP="00393E08">
                  <w:pPr>
                    <w:jc w:val="both"/>
                    <w:rPr>
                      <w:rFonts w:ascii="Times New Roman" w:hAnsi="Times New Roman" w:cs="Times New Roman"/>
                    </w:rPr>
                  </w:pPr>
                  <w:r w:rsidRPr="003F6167">
                    <w:rPr>
                      <w:rFonts w:ascii="Times New Roman" w:hAnsi="Times New Roman" w:cs="Times New Roman"/>
                      <w:color w:val="000000"/>
                    </w:rPr>
                    <w:t>Serviço de instalação, manutenção e retirada de todos os itens, incluindo caminhão munck e transporte</w:t>
                  </w:r>
                </w:p>
              </w:tc>
            </w:tr>
          </w:tbl>
          <w:p w14:paraId="7958EF69" w14:textId="011E0B73"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O Item 2</w:t>
            </w:r>
            <w:r w:rsidR="00763D3D">
              <w:rPr>
                <w:rFonts w:ascii="Times New Roman" w:hAnsi="Times New Roman" w:cs="Times New Roman"/>
                <w:color w:val="000000"/>
              </w:rPr>
              <w:t>0</w:t>
            </w:r>
            <w:r w:rsidRPr="003F6167">
              <w:rPr>
                <w:rFonts w:ascii="Times New Roman" w:hAnsi="Times New Roman" w:cs="Times New Roman"/>
                <w:color w:val="000000"/>
              </w:rPr>
              <w:t xml:space="preserve"> (serviço de instalação, manutenção e retirada) é parte integrante do objeto e não constitui objeto autônomo, sendo indispensável à execução segura e adequada do objeto em sua integralidade.</w:t>
            </w:r>
          </w:p>
          <w:p w14:paraId="63E5889A"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Os locais específicos de instalação de cada item serão definidos pela Administração Municipal no momento da emissão da Ordem de Serviço, observando o planejamento das festividades natalinas 2026.</w:t>
            </w:r>
          </w:p>
        </w:tc>
      </w:tr>
      <w:tr w:rsidR="00D42EEA" w:rsidRPr="003F6167" w14:paraId="3973C7FB"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2B8F7477"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lastRenderedPageBreak/>
              <w:t>6. Estimativa do valor da contratação</w:t>
            </w:r>
          </w:p>
        </w:tc>
      </w:tr>
      <w:tr w:rsidR="00D42EEA" w:rsidRPr="003F6167" w14:paraId="551D8BD8"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2DDCDA47" w14:textId="77777777" w:rsidR="00A471BA" w:rsidRPr="00A471BA" w:rsidRDefault="00A471BA" w:rsidP="00A471BA">
            <w:pPr>
              <w:jc w:val="both"/>
              <w:rPr>
                <w:rFonts w:ascii="Times New Roman" w:hAnsi="Times New Roman" w:cs="Times New Roman"/>
                <w:color w:val="000000"/>
              </w:rPr>
            </w:pPr>
            <w:r w:rsidRPr="00A471BA">
              <w:rPr>
                <w:rFonts w:ascii="Times New Roman" w:hAnsi="Times New Roman" w:cs="Times New Roman"/>
                <w:color w:val="000000"/>
              </w:rPr>
              <w:t>A estimativa do valor da contratação foi elaborada com base em pesquisa de preços realizada nos termos do art. 23 da Lei nº 14.133/2021, considerando cotações obtidas junto a fornecedores do ramo, bem como a análise de contratações similares realizadas por outros municípios, quando compatíveis com as características do objeto.</w:t>
            </w:r>
          </w:p>
          <w:p w14:paraId="0CAE90B1" w14:textId="77777777" w:rsidR="00A471BA" w:rsidRPr="00A471BA" w:rsidRDefault="00A471BA" w:rsidP="00A471BA">
            <w:pPr>
              <w:jc w:val="both"/>
              <w:rPr>
                <w:rFonts w:ascii="Times New Roman" w:hAnsi="Times New Roman" w:cs="Times New Roman"/>
                <w:color w:val="000000"/>
              </w:rPr>
            </w:pPr>
            <w:r w:rsidRPr="00A471BA">
              <w:rPr>
                <w:rFonts w:ascii="Times New Roman" w:hAnsi="Times New Roman" w:cs="Times New Roman"/>
                <w:color w:val="000000"/>
              </w:rPr>
              <w:t>Para a definição dos valores de referência, foi realizada análise crítica dos preços coletados, considerando as especificações técnicas, dimensões, quantitativos, materiais, condições de instalação, manutenção, desmontagem, transporte e demais características que compõem a solução pretendida.</w:t>
            </w:r>
          </w:p>
          <w:p w14:paraId="1FF197F1" w14:textId="77777777" w:rsidR="00A471BA" w:rsidRPr="00A471BA" w:rsidRDefault="00A471BA" w:rsidP="00A471BA">
            <w:pPr>
              <w:jc w:val="both"/>
              <w:rPr>
                <w:rFonts w:ascii="Times New Roman" w:hAnsi="Times New Roman" w:cs="Times New Roman"/>
                <w:color w:val="000000"/>
              </w:rPr>
            </w:pPr>
            <w:r w:rsidRPr="00A471BA">
              <w:rPr>
                <w:rFonts w:ascii="Times New Roman" w:hAnsi="Times New Roman" w:cs="Times New Roman"/>
                <w:color w:val="000000"/>
              </w:rPr>
              <w:t>Também foram analisadas contratações similares realizadas por outros municípios catarinenses. Entre elas, destacam-se os Pregões Eletrônicos dos Municípios de Maravilha/SC (Processo Licitatório nº 277/2025), Mafra/SC (Pregão Eletrônico nº 047/2025), Rio do Sul/SC (Pregão Eletrônico nº 226/2024), Serra Alta/SC e Braço do Norte/SC, cujos objetos contemplam, em diferentes composições, a locação, instalação, manutenção e desmontagem de estruturas metálicas iluminadas, portais, árvores natalinas, letreiros, arabescos, Casinha do Papai Noel e demais elementos decorativos.</w:t>
            </w:r>
          </w:p>
          <w:p w14:paraId="125EB086" w14:textId="77777777" w:rsidR="00A471BA" w:rsidRPr="00A471BA" w:rsidRDefault="00A471BA" w:rsidP="00A471BA">
            <w:pPr>
              <w:jc w:val="both"/>
              <w:rPr>
                <w:rFonts w:ascii="Times New Roman" w:hAnsi="Times New Roman" w:cs="Times New Roman"/>
                <w:color w:val="000000"/>
              </w:rPr>
            </w:pPr>
            <w:r w:rsidRPr="00A471BA">
              <w:rPr>
                <w:rFonts w:ascii="Times New Roman" w:hAnsi="Times New Roman" w:cs="Times New Roman"/>
                <w:color w:val="000000"/>
              </w:rPr>
              <w:t>As contratações similares foram utilizadas como referência complementar para análise da compatibilidade dos preços e da solução pretendida, considerando-se as diferenças existentes entre os quantitativos, especificações, dimensões, períodos de utilização e abrangência dos serviços de cada contratação.</w:t>
            </w:r>
          </w:p>
          <w:p w14:paraId="55A6D274" w14:textId="77777777" w:rsidR="00A471BA" w:rsidRPr="00A471BA" w:rsidRDefault="00A471BA" w:rsidP="00A471BA">
            <w:pPr>
              <w:jc w:val="both"/>
              <w:rPr>
                <w:rFonts w:ascii="Times New Roman" w:hAnsi="Times New Roman" w:cs="Times New Roman"/>
                <w:color w:val="000000"/>
              </w:rPr>
            </w:pPr>
            <w:r w:rsidRPr="00A471BA">
              <w:rPr>
                <w:rFonts w:ascii="Times New Roman" w:hAnsi="Times New Roman" w:cs="Times New Roman"/>
                <w:color w:val="000000"/>
              </w:rPr>
              <w:t>Para a formação do preço estimado, foram obtidas três cotações de fornecedores especializados, identificadas como JPLED Ltda., Dinatale e Andrelís, sendo realizada a comparação dos valores apresentados para cada item.</w:t>
            </w:r>
          </w:p>
          <w:p w14:paraId="7BE49ACE" w14:textId="77777777" w:rsidR="00A471BA" w:rsidRPr="00A471BA" w:rsidRDefault="00A471BA" w:rsidP="00A471BA">
            <w:pPr>
              <w:jc w:val="both"/>
              <w:rPr>
                <w:rFonts w:ascii="Times New Roman" w:hAnsi="Times New Roman" w:cs="Times New Roman"/>
                <w:color w:val="000000"/>
              </w:rPr>
            </w:pPr>
            <w:r w:rsidRPr="00A471BA">
              <w:rPr>
                <w:rFonts w:ascii="Times New Roman" w:hAnsi="Times New Roman" w:cs="Times New Roman"/>
                <w:color w:val="000000"/>
              </w:rPr>
              <w:t>Após a análise dos preços coletados, foi adotado, para cada item, o menor preço considerado válido e compatível com as especificações e condições estabelecidas pela Administração, desde que o valor se mostre exequível e corresponda efetivamente ao objeto pretendido.</w:t>
            </w:r>
          </w:p>
          <w:p w14:paraId="0C13DBE8" w14:textId="77777777" w:rsidR="00A471BA" w:rsidRPr="00A471BA" w:rsidRDefault="00A471BA" w:rsidP="00A471BA">
            <w:pPr>
              <w:jc w:val="both"/>
              <w:rPr>
                <w:rFonts w:ascii="Times New Roman" w:hAnsi="Times New Roman" w:cs="Times New Roman"/>
                <w:color w:val="000000"/>
              </w:rPr>
            </w:pPr>
            <w:r w:rsidRPr="00A471BA">
              <w:rPr>
                <w:rFonts w:ascii="Times New Roman" w:hAnsi="Times New Roman" w:cs="Times New Roman"/>
                <w:color w:val="000000"/>
              </w:rPr>
              <w:t>A adoção do menor preço considerado válido e compatível tem por finalidade assegurar maior economicidade e vantajosidade para a Administração, evitando que valores superiores obtidos nas pesquisas elevem desnecessariamente o orçamento estimado da contratação.</w:t>
            </w:r>
          </w:p>
          <w:p w14:paraId="70E80B8D" w14:textId="77777777" w:rsidR="00A471BA" w:rsidRPr="00A471BA" w:rsidRDefault="00A471BA" w:rsidP="00A471BA">
            <w:pPr>
              <w:jc w:val="both"/>
              <w:rPr>
                <w:rFonts w:ascii="Times New Roman" w:hAnsi="Times New Roman" w:cs="Times New Roman"/>
                <w:color w:val="000000"/>
              </w:rPr>
            </w:pPr>
            <w:r w:rsidRPr="00A471BA">
              <w:rPr>
                <w:rFonts w:ascii="Times New Roman" w:hAnsi="Times New Roman" w:cs="Times New Roman"/>
                <w:color w:val="000000"/>
              </w:rPr>
              <w:t>Ressalta-se que a escolha do menor valor não ocorreu de forma automática, tendo sido considerada a compatibilidade entre as propostas, as especificações técnicas dos itens e as condições de execução. Eventuais valores que apresentassem inconsistências, especificações divergentes, condições de fornecimento distintas, erros de composição ou indícios de inexequibilidade deveriam ser desconsiderados para fins de formação do preço estimado.</w:t>
            </w:r>
          </w:p>
          <w:p w14:paraId="111009E0" w14:textId="77777777" w:rsidR="00A471BA" w:rsidRPr="00A471BA" w:rsidRDefault="00A471BA" w:rsidP="00A471BA">
            <w:pPr>
              <w:jc w:val="both"/>
              <w:rPr>
                <w:rFonts w:ascii="Times New Roman" w:hAnsi="Times New Roman" w:cs="Times New Roman"/>
                <w:color w:val="000000"/>
              </w:rPr>
            </w:pPr>
            <w:r w:rsidRPr="00A471BA">
              <w:rPr>
                <w:rFonts w:ascii="Times New Roman" w:hAnsi="Times New Roman" w:cs="Times New Roman"/>
                <w:color w:val="000000"/>
              </w:rPr>
              <w:t>Dessa forma, a metodologia adotada permite estabelecer uma estimativa de preços compatível com as condições efetivas da contratação e orientada pela economicidade, utilizando-se como referência os menores valores considerados válidos entre as cotações obtidas.</w:t>
            </w:r>
          </w:p>
          <w:p w14:paraId="64BC54C7" w14:textId="7263E4F4" w:rsidR="0000003B" w:rsidRPr="00A471BA" w:rsidRDefault="00A471BA" w:rsidP="0000003B">
            <w:pPr>
              <w:jc w:val="both"/>
              <w:rPr>
                <w:rFonts w:ascii="Times New Roman" w:hAnsi="Times New Roman" w:cs="Times New Roman"/>
                <w:color w:val="000000"/>
              </w:rPr>
            </w:pPr>
            <w:r w:rsidRPr="00A471BA">
              <w:rPr>
                <w:rFonts w:ascii="Times New Roman" w:hAnsi="Times New Roman" w:cs="Times New Roman"/>
                <w:color w:val="000000"/>
              </w:rPr>
              <w:t>Com base nessa metodologia, o valor estimado da contratação corresponde a R$ 346.720,00 (trezentos e quarenta e seis mil, setecentos e vinte reais), conforme demonstrado na tabela de composição de preços</w:t>
            </w:r>
            <w:r w:rsidR="0000003B" w:rsidRPr="0000003B">
              <w:rPr>
                <w:rFonts w:ascii="Times New Roman" w:hAnsi="Times New Roman" w:cs="Times New Roman"/>
              </w:rPr>
              <w:t>.</w:t>
            </w:r>
          </w:p>
          <w:tbl>
            <w:tblPr>
              <w:tblStyle w:val="Tabelacomgrade"/>
              <w:tblW w:w="9173" w:type="dxa"/>
              <w:tblLook w:val="04A0" w:firstRow="1" w:lastRow="0" w:firstColumn="1" w:lastColumn="0" w:noHBand="0" w:noVBand="1"/>
            </w:tblPr>
            <w:tblGrid>
              <w:gridCol w:w="810"/>
              <w:gridCol w:w="2976"/>
              <w:gridCol w:w="1418"/>
              <w:gridCol w:w="1275"/>
              <w:gridCol w:w="1560"/>
              <w:gridCol w:w="1134"/>
            </w:tblGrid>
            <w:tr w:rsidR="008426D3" w:rsidRPr="008426D3" w14:paraId="6BB9CC47" w14:textId="77777777" w:rsidTr="0050675A">
              <w:trPr>
                <w:trHeight w:val="870"/>
              </w:trPr>
              <w:tc>
                <w:tcPr>
                  <w:tcW w:w="810" w:type="dxa"/>
                  <w:hideMark/>
                </w:tcPr>
                <w:p w14:paraId="151D3B7A" w14:textId="77777777" w:rsidR="008426D3" w:rsidRPr="008426D3" w:rsidRDefault="008426D3" w:rsidP="008426D3">
                  <w:pPr>
                    <w:jc w:val="center"/>
                    <w:rPr>
                      <w:rFonts w:ascii="Times New Roman" w:eastAsia="Times New Roman" w:hAnsi="Times New Roman" w:cs="Times New Roman"/>
                      <w:b/>
                      <w:bCs/>
                      <w:color w:val="000000"/>
                      <w:sz w:val="20"/>
                      <w:szCs w:val="20"/>
                    </w:rPr>
                  </w:pPr>
                  <w:r w:rsidRPr="008426D3">
                    <w:rPr>
                      <w:rFonts w:ascii="Times New Roman" w:eastAsia="Times New Roman" w:hAnsi="Times New Roman" w:cs="Times New Roman"/>
                      <w:b/>
                      <w:bCs/>
                      <w:sz w:val="20"/>
                      <w:szCs w:val="20"/>
                    </w:rPr>
                    <w:lastRenderedPageBreak/>
                    <w:t>Item</w:t>
                  </w:r>
                </w:p>
              </w:tc>
              <w:tc>
                <w:tcPr>
                  <w:tcW w:w="2976" w:type="dxa"/>
                  <w:hideMark/>
                </w:tcPr>
                <w:p w14:paraId="1D7F75BD" w14:textId="77777777" w:rsidR="008426D3" w:rsidRPr="008426D3" w:rsidRDefault="008426D3" w:rsidP="008426D3">
                  <w:pPr>
                    <w:jc w:val="both"/>
                    <w:rPr>
                      <w:rFonts w:ascii="Times New Roman" w:eastAsia="Times New Roman" w:hAnsi="Times New Roman" w:cs="Times New Roman"/>
                      <w:b/>
                      <w:bCs/>
                      <w:color w:val="000000"/>
                      <w:sz w:val="20"/>
                      <w:szCs w:val="20"/>
                    </w:rPr>
                  </w:pPr>
                  <w:r w:rsidRPr="008426D3">
                    <w:rPr>
                      <w:rFonts w:ascii="Times New Roman" w:eastAsia="Times New Roman" w:hAnsi="Times New Roman" w:cs="Times New Roman"/>
                      <w:b/>
                      <w:bCs/>
                      <w:sz w:val="20"/>
                      <w:szCs w:val="20"/>
                    </w:rPr>
                    <w:t>Descrição</w:t>
                  </w:r>
                </w:p>
              </w:tc>
              <w:tc>
                <w:tcPr>
                  <w:tcW w:w="1418" w:type="dxa"/>
                  <w:hideMark/>
                </w:tcPr>
                <w:p w14:paraId="3DD492E6" w14:textId="77777777" w:rsidR="008426D3" w:rsidRPr="008426D3" w:rsidRDefault="008426D3" w:rsidP="008426D3">
                  <w:pPr>
                    <w:jc w:val="center"/>
                    <w:rPr>
                      <w:rFonts w:ascii="Times New Roman" w:eastAsia="Times New Roman" w:hAnsi="Times New Roman" w:cs="Times New Roman"/>
                      <w:b/>
                      <w:bCs/>
                      <w:color w:val="000000"/>
                      <w:sz w:val="20"/>
                      <w:szCs w:val="20"/>
                    </w:rPr>
                  </w:pPr>
                  <w:r w:rsidRPr="008426D3">
                    <w:rPr>
                      <w:rFonts w:ascii="Times New Roman" w:eastAsia="Times New Roman" w:hAnsi="Times New Roman" w:cs="Times New Roman"/>
                      <w:b/>
                      <w:bCs/>
                      <w:sz w:val="20"/>
                      <w:szCs w:val="20"/>
                    </w:rPr>
                    <w:t>Vl. Unit. (R$) Cotação 01 (JPLED)</w:t>
                  </w:r>
                </w:p>
              </w:tc>
              <w:tc>
                <w:tcPr>
                  <w:tcW w:w="1275" w:type="dxa"/>
                  <w:hideMark/>
                </w:tcPr>
                <w:p w14:paraId="1F146716" w14:textId="77777777" w:rsidR="008426D3" w:rsidRPr="008426D3" w:rsidRDefault="008426D3" w:rsidP="008426D3">
                  <w:pPr>
                    <w:jc w:val="center"/>
                    <w:rPr>
                      <w:rFonts w:ascii="Times New Roman" w:eastAsia="Times New Roman" w:hAnsi="Times New Roman" w:cs="Times New Roman"/>
                      <w:b/>
                      <w:bCs/>
                      <w:color w:val="000000"/>
                      <w:sz w:val="20"/>
                      <w:szCs w:val="20"/>
                    </w:rPr>
                  </w:pPr>
                  <w:r w:rsidRPr="008426D3">
                    <w:rPr>
                      <w:rFonts w:ascii="Times New Roman" w:eastAsia="Times New Roman" w:hAnsi="Times New Roman" w:cs="Times New Roman"/>
                      <w:b/>
                      <w:bCs/>
                      <w:sz w:val="20"/>
                      <w:szCs w:val="20"/>
                    </w:rPr>
                    <w:t>Vl. Unit. (R$) Cotação 02 (Dinatale)</w:t>
                  </w:r>
                </w:p>
              </w:tc>
              <w:tc>
                <w:tcPr>
                  <w:tcW w:w="1560" w:type="dxa"/>
                  <w:hideMark/>
                </w:tcPr>
                <w:p w14:paraId="6CC36F30" w14:textId="77777777" w:rsidR="008426D3" w:rsidRPr="008426D3" w:rsidRDefault="008426D3" w:rsidP="008426D3">
                  <w:pPr>
                    <w:jc w:val="center"/>
                    <w:rPr>
                      <w:rFonts w:ascii="Times New Roman" w:eastAsia="Times New Roman" w:hAnsi="Times New Roman" w:cs="Times New Roman"/>
                      <w:b/>
                      <w:bCs/>
                      <w:color w:val="000000"/>
                      <w:sz w:val="20"/>
                      <w:szCs w:val="20"/>
                    </w:rPr>
                  </w:pPr>
                  <w:r w:rsidRPr="008426D3">
                    <w:rPr>
                      <w:rFonts w:ascii="Times New Roman" w:eastAsia="Times New Roman" w:hAnsi="Times New Roman" w:cs="Times New Roman"/>
                      <w:b/>
                      <w:bCs/>
                      <w:sz w:val="20"/>
                      <w:szCs w:val="20"/>
                    </w:rPr>
                    <w:t>Vl. Unit. (R$) Cotação 03 (Andrelís)</w:t>
                  </w:r>
                </w:p>
              </w:tc>
              <w:tc>
                <w:tcPr>
                  <w:tcW w:w="1134" w:type="dxa"/>
                  <w:hideMark/>
                </w:tcPr>
                <w:p w14:paraId="208D671F" w14:textId="6FEDD701" w:rsidR="008426D3" w:rsidRPr="008426D3" w:rsidRDefault="008426D3" w:rsidP="008426D3">
                  <w:pPr>
                    <w:jc w:val="center"/>
                    <w:rPr>
                      <w:rFonts w:ascii="Times New Roman" w:eastAsia="Times New Roman" w:hAnsi="Times New Roman" w:cs="Times New Roman"/>
                      <w:b/>
                      <w:bCs/>
                      <w:color w:val="000000"/>
                      <w:sz w:val="20"/>
                      <w:szCs w:val="20"/>
                    </w:rPr>
                  </w:pPr>
                  <w:r w:rsidRPr="008426D3">
                    <w:rPr>
                      <w:rFonts w:ascii="Times New Roman" w:eastAsia="Times New Roman" w:hAnsi="Times New Roman" w:cs="Times New Roman"/>
                      <w:b/>
                      <w:bCs/>
                      <w:sz w:val="20"/>
                      <w:szCs w:val="20"/>
                    </w:rPr>
                    <w:t>Vl. Unit. (R$)</w:t>
                  </w:r>
                </w:p>
              </w:tc>
            </w:tr>
            <w:tr w:rsidR="008426D3" w:rsidRPr="008426D3" w14:paraId="140F9026" w14:textId="77777777" w:rsidTr="0050675A">
              <w:trPr>
                <w:trHeight w:val="915"/>
              </w:trPr>
              <w:tc>
                <w:tcPr>
                  <w:tcW w:w="810" w:type="dxa"/>
                  <w:hideMark/>
                </w:tcPr>
                <w:p w14:paraId="51DEAC97"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w:t>
                  </w:r>
                </w:p>
              </w:tc>
              <w:tc>
                <w:tcPr>
                  <w:tcW w:w="2976" w:type="dxa"/>
                  <w:hideMark/>
                </w:tcPr>
                <w:p w14:paraId="668FECCD"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Estrela engrossada com abertura central (1,60m x 1,60m x 0,20m), estrutura metálica, mangueira LED 12mm 42 lâm/m, tela prata, cordão LED IP44</w:t>
                  </w:r>
                </w:p>
              </w:tc>
              <w:tc>
                <w:tcPr>
                  <w:tcW w:w="1418" w:type="dxa"/>
                  <w:hideMark/>
                </w:tcPr>
                <w:p w14:paraId="3A7C6D68"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2.100,00</w:t>
                  </w:r>
                </w:p>
              </w:tc>
              <w:tc>
                <w:tcPr>
                  <w:tcW w:w="1275" w:type="dxa"/>
                  <w:hideMark/>
                </w:tcPr>
                <w:p w14:paraId="527E0F10"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2.150,00</w:t>
                  </w:r>
                </w:p>
              </w:tc>
              <w:tc>
                <w:tcPr>
                  <w:tcW w:w="1560" w:type="dxa"/>
                  <w:hideMark/>
                </w:tcPr>
                <w:p w14:paraId="4914C250"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2.140,00</w:t>
                  </w:r>
                </w:p>
              </w:tc>
              <w:tc>
                <w:tcPr>
                  <w:tcW w:w="1134" w:type="dxa"/>
                  <w:noWrap/>
                  <w:hideMark/>
                </w:tcPr>
                <w:p w14:paraId="3C6F4750"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2.100,00</w:t>
                  </w:r>
                </w:p>
              </w:tc>
            </w:tr>
            <w:tr w:rsidR="008426D3" w:rsidRPr="008426D3" w14:paraId="472BB315" w14:textId="77777777" w:rsidTr="0050675A">
              <w:trPr>
                <w:trHeight w:val="915"/>
              </w:trPr>
              <w:tc>
                <w:tcPr>
                  <w:tcW w:w="810" w:type="dxa"/>
                  <w:hideMark/>
                </w:tcPr>
                <w:p w14:paraId="3419AB3E"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w:t>
                  </w:r>
                </w:p>
              </w:tc>
              <w:tc>
                <w:tcPr>
                  <w:tcW w:w="2976" w:type="dxa"/>
                  <w:hideMark/>
                </w:tcPr>
                <w:p w14:paraId="57CB2E28"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Estrela engrossada com abertura central (1,30m x 1,30m x 0,20m), estrutura metálica, mangueira LED 12mm 42 lâm/m, tela prata, cordão LED IP44</w:t>
                  </w:r>
                </w:p>
              </w:tc>
              <w:tc>
                <w:tcPr>
                  <w:tcW w:w="1418" w:type="dxa"/>
                  <w:hideMark/>
                </w:tcPr>
                <w:p w14:paraId="28B69D0F"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1.500,00</w:t>
                  </w:r>
                </w:p>
              </w:tc>
              <w:tc>
                <w:tcPr>
                  <w:tcW w:w="1275" w:type="dxa"/>
                  <w:hideMark/>
                </w:tcPr>
                <w:p w14:paraId="00B40AD7"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1.150,00</w:t>
                  </w:r>
                </w:p>
              </w:tc>
              <w:tc>
                <w:tcPr>
                  <w:tcW w:w="1560" w:type="dxa"/>
                  <w:hideMark/>
                </w:tcPr>
                <w:p w14:paraId="16108B09"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1.510,00</w:t>
                  </w:r>
                </w:p>
              </w:tc>
              <w:tc>
                <w:tcPr>
                  <w:tcW w:w="1134" w:type="dxa"/>
                  <w:noWrap/>
                  <w:hideMark/>
                </w:tcPr>
                <w:p w14:paraId="13B2A334"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1.500,00</w:t>
                  </w:r>
                </w:p>
              </w:tc>
            </w:tr>
            <w:tr w:rsidR="008426D3" w:rsidRPr="008426D3" w14:paraId="25809345" w14:textId="77777777" w:rsidTr="0050675A">
              <w:trPr>
                <w:trHeight w:val="915"/>
              </w:trPr>
              <w:tc>
                <w:tcPr>
                  <w:tcW w:w="810" w:type="dxa"/>
                  <w:hideMark/>
                </w:tcPr>
                <w:p w14:paraId="7281FCC3"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3</w:t>
                  </w:r>
                </w:p>
              </w:tc>
              <w:tc>
                <w:tcPr>
                  <w:tcW w:w="2976" w:type="dxa"/>
                  <w:hideMark/>
                </w:tcPr>
                <w:p w14:paraId="7FCABBF9"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Estrela engrossada com abertura central (1,00m x 1,00m x 0,20m), estrutura metálica, mangueira LED 12mm 42 lâm/m, tela prata, cordão LED IP44</w:t>
                  </w:r>
                </w:p>
              </w:tc>
              <w:tc>
                <w:tcPr>
                  <w:tcW w:w="1418" w:type="dxa"/>
                  <w:hideMark/>
                </w:tcPr>
                <w:p w14:paraId="1F9A3878" w14:textId="6B6060D2"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900</w:t>
                  </w:r>
                  <w:r w:rsidR="00A471BA">
                    <w:rPr>
                      <w:rFonts w:ascii="Times New Roman" w:eastAsia="Times New Roman" w:hAnsi="Times New Roman" w:cs="Times New Roman"/>
                      <w:color w:val="000000"/>
                      <w:sz w:val="20"/>
                      <w:szCs w:val="20"/>
                    </w:rPr>
                    <w:t>,00</w:t>
                  </w:r>
                </w:p>
              </w:tc>
              <w:tc>
                <w:tcPr>
                  <w:tcW w:w="1275" w:type="dxa"/>
                  <w:hideMark/>
                </w:tcPr>
                <w:p w14:paraId="7A75148E" w14:textId="2B9DED38"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950</w:t>
                  </w:r>
                  <w:r w:rsidR="00A471BA">
                    <w:rPr>
                      <w:rFonts w:ascii="Times New Roman" w:eastAsia="Times New Roman" w:hAnsi="Times New Roman" w:cs="Times New Roman"/>
                      <w:color w:val="000000"/>
                      <w:sz w:val="20"/>
                      <w:szCs w:val="20"/>
                    </w:rPr>
                    <w:t>,00</w:t>
                  </w:r>
                </w:p>
              </w:tc>
              <w:tc>
                <w:tcPr>
                  <w:tcW w:w="1560" w:type="dxa"/>
                  <w:hideMark/>
                </w:tcPr>
                <w:p w14:paraId="78A277EE" w14:textId="767FA34E"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920</w:t>
                  </w:r>
                  <w:r w:rsidR="00A471BA">
                    <w:rPr>
                      <w:rFonts w:ascii="Times New Roman" w:eastAsia="Times New Roman" w:hAnsi="Times New Roman" w:cs="Times New Roman"/>
                      <w:color w:val="000000"/>
                      <w:sz w:val="20"/>
                      <w:szCs w:val="20"/>
                    </w:rPr>
                    <w:t>,00</w:t>
                  </w:r>
                </w:p>
              </w:tc>
              <w:tc>
                <w:tcPr>
                  <w:tcW w:w="1134" w:type="dxa"/>
                  <w:noWrap/>
                  <w:hideMark/>
                </w:tcPr>
                <w:p w14:paraId="0BDFD87B" w14:textId="347BE892"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900</w:t>
                  </w:r>
                  <w:r w:rsidR="00A471BA">
                    <w:rPr>
                      <w:rFonts w:ascii="Times New Roman" w:eastAsia="Times New Roman" w:hAnsi="Times New Roman" w:cs="Times New Roman"/>
                      <w:color w:val="000000"/>
                      <w:sz w:val="20"/>
                      <w:szCs w:val="20"/>
                    </w:rPr>
                    <w:t>,00</w:t>
                  </w:r>
                </w:p>
              </w:tc>
            </w:tr>
            <w:tr w:rsidR="008426D3" w:rsidRPr="008426D3" w14:paraId="48ED54D8" w14:textId="77777777" w:rsidTr="0050675A">
              <w:trPr>
                <w:trHeight w:val="915"/>
              </w:trPr>
              <w:tc>
                <w:tcPr>
                  <w:tcW w:w="810" w:type="dxa"/>
                  <w:hideMark/>
                </w:tcPr>
                <w:p w14:paraId="509E7477"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4</w:t>
                  </w:r>
                </w:p>
              </w:tc>
              <w:tc>
                <w:tcPr>
                  <w:tcW w:w="2976" w:type="dxa"/>
                  <w:hideMark/>
                </w:tcPr>
                <w:p w14:paraId="69E6CE1F"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Árvore geométrica composta por quatro camadas (1,70m x 0,95m x 0,30m), estrutura metálica, mangueira LED, tela prata, cordão LED IP44</w:t>
                  </w:r>
                </w:p>
              </w:tc>
              <w:tc>
                <w:tcPr>
                  <w:tcW w:w="1418" w:type="dxa"/>
                  <w:hideMark/>
                </w:tcPr>
                <w:p w14:paraId="567E73BF"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2.300,00</w:t>
                  </w:r>
                </w:p>
              </w:tc>
              <w:tc>
                <w:tcPr>
                  <w:tcW w:w="1275" w:type="dxa"/>
                  <w:hideMark/>
                </w:tcPr>
                <w:p w14:paraId="4C2B4339"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2.310,00</w:t>
                  </w:r>
                </w:p>
              </w:tc>
              <w:tc>
                <w:tcPr>
                  <w:tcW w:w="1560" w:type="dxa"/>
                  <w:hideMark/>
                </w:tcPr>
                <w:p w14:paraId="32BEBD92"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2.370,00</w:t>
                  </w:r>
                </w:p>
              </w:tc>
              <w:tc>
                <w:tcPr>
                  <w:tcW w:w="1134" w:type="dxa"/>
                  <w:noWrap/>
                  <w:hideMark/>
                </w:tcPr>
                <w:p w14:paraId="5A7B580A"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2.300,00</w:t>
                  </w:r>
                </w:p>
              </w:tc>
            </w:tr>
            <w:tr w:rsidR="008426D3" w:rsidRPr="008426D3" w14:paraId="60CD9905" w14:textId="77777777" w:rsidTr="0050675A">
              <w:trPr>
                <w:trHeight w:val="915"/>
              </w:trPr>
              <w:tc>
                <w:tcPr>
                  <w:tcW w:w="810" w:type="dxa"/>
                  <w:hideMark/>
                </w:tcPr>
                <w:p w14:paraId="53DCBACF"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5</w:t>
                  </w:r>
                </w:p>
              </w:tc>
              <w:tc>
                <w:tcPr>
                  <w:tcW w:w="2976" w:type="dxa"/>
                  <w:hideMark/>
                </w:tcPr>
                <w:p w14:paraId="55F776F5"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Painel de arabescos com laço e estrelas (1,60m x 0,80m), sistema de fixação para postes, estrutura metálica, mangueira LED, tela prata, cordão LED IP44</w:t>
                  </w:r>
                </w:p>
              </w:tc>
              <w:tc>
                <w:tcPr>
                  <w:tcW w:w="1418" w:type="dxa"/>
                  <w:hideMark/>
                </w:tcPr>
                <w:p w14:paraId="119B7417"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1.100,00</w:t>
                  </w:r>
                </w:p>
              </w:tc>
              <w:tc>
                <w:tcPr>
                  <w:tcW w:w="1275" w:type="dxa"/>
                  <w:hideMark/>
                </w:tcPr>
                <w:p w14:paraId="13C15D17"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1.120,00</w:t>
                  </w:r>
                </w:p>
              </w:tc>
              <w:tc>
                <w:tcPr>
                  <w:tcW w:w="1560" w:type="dxa"/>
                  <w:hideMark/>
                </w:tcPr>
                <w:p w14:paraId="7C1D00D0"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1.130,00</w:t>
                  </w:r>
                </w:p>
              </w:tc>
              <w:tc>
                <w:tcPr>
                  <w:tcW w:w="1134" w:type="dxa"/>
                  <w:noWrap/>
                  <w:hideMark/>
                </w:tcPr>
                <w:p w14:paraId="7FB51402"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1.100,00</w:t>
                  </w:r>
                </w:p>
              </w:tc>
            </w:tr>
            <w:tr w:rsidR="008426D3" w:rsidRPr="008426D3" w14:paraId="753836ED" w14:textId="77777777" w:rsidTr="0050675A">
              <w:trPr>
                <w:trHeight w:val="915"/>
              </w:trPr>
              <w:tc>
                <w:tcPr>
                  <w:tcW w:w="810" w:type="dxa"/>
                  <w:hideMark/>
                </w:tcPr>
                <w:p w14:paraId="4A743E3D"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6</w:t>
                  </w:r>
                </w:p>
              </w:tc>
              <w:tc>
                <w:tcPr>
                  <w:tcW w:w="2976" w:type="dxa"/>
                  <w:hideMark/>
                </w:tcPr>
                <w:p w14:paraId="688499CD"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Vela tridimensional com chama (1,50m x 0,40m x 0,40m), estrutura metálica, mangueira LED, tela prata, cordão LED IP44</w:t>
                  </w:r>
                </w:p>
              </w:tc>
              <w:tc>
                <w:tcPr>
                  <w:tcW w:w="1418" w:type="dxa"/>
                  <w:hideMark/>
                </w:tcPr>
                <w:p w14:paraId="420D400A"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2.160,00</w:t>
                  </w:r>
                </w:p>
              </w:tc>
              <w:tc>
                <w:tcPr>
                  <w:tcW w:w="1275" w:type="dxa"/>
                  <w:hideMark/>
                </w:tcPr>
                <w:p w14:paraId="115E8F0F"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2.170,00</w:t>
                  </w:r>
                </w:p>
              </w:tc>
              <w:tc>
                <w:tcPr>
                  <w:tcW w:w="1560" w:type="dxa"/>
                  <w:hideMark/>
                </w:tcPr>
                <w:p w14:paraId="73A2FA9A"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2.190,00</w:t>
                  </w:r>
                </w:p>
              </w:tc>
              <w:tc>
                <w:tcPr>
                  <w:tcW w:w="1134" w:type="dxa"/>
                  <w:hideMark/>
                </w:tcPr>
                <w:p w14:paraId="4E74E313"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2.160,00</w:t>
                  </w:r>
                </w:p>
              </w:tc>
            </w:tr>
            <w:tr w:rsidR="008426D3" w:rsidRPr="008426D3" w14:paraId="6437B28D" w14:textId="77777777" w:rsidTr="0050675A">
              <w:trPr>
                <w:trHeight w:val="915"/>
              </w:trPr>
              <w:tc>
                <w:tcPr>
                  <w:tcW w:w="810" w:type="dxa"/>
                  <w:hideMark/>
                </w:tcPr>
                <w:p w14:paraId="08A018F0"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7</w:t>
                  </w:r>
                </w:p>
              </w:tc>
              <w:tc>
                <w:tcPr>
                  <w:tcW w:w="2976" w:type="dxa"/>
                  <w:hideMark/>
                </w:tcPr>
                <w:p w14:paraId="00E965F7"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Vela tridimensional com chama (1,30m x 0,30m x 0,30m), estrutura metálica, mangueira LED, tela prata, cordão LED IP44</w:t>
                  </w:r>
                </w:p>
              </w:tc>
              <w:tc>
                <w:tcPr>
                  <w:tcW w:w="1418" w:type="dxa"/>
                  <w:hideMark/>
                </w:tcPr>
                <w:p w14:paraId="14F95FBE"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1.900,00</w:t>
                  </w:r>
                </w:p>
              </w:tc>
              <w:tc>
                <w:tcPr>
                  <w:tcW w:w="1275" w:type="dxa"/>
                  <w:hideMark/>
                </w:tcPr>
                <w:p w14:paraId="3DDAB98B"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1.920,00</w:t>
                  </w:r>
                </w:p>
              </w:tc>
              <w:tc>
                <w:tcPr>
                  <w:tcW w:w="1560" w:type="dxa"/>
                  <w:hideMark/>
                </w:tcPr>
                <w:p w14:paraId="0B0CCD59"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1.970,00</w:t>
                  </w:r>
                </w:p>
              </w:tc>
              <w:tc>
                <w:tcPr>
                  <w:tcW w:w="1134" w:type="dxa"/>
                  <w:hideMark/>
                </w:tcPr>
                <w:p w14:paraId="052E81D6"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1.900,00</w:t>
                  </w:r>
                </w:p>
              </w:tc>
            </w:tr>
            <w:tr w:rsidR="008426D3" w:rsidRPr="008426D3" w14:paraId="3CE9053D" w14:textId="77777777" w:rsidTr="0050675A">
              <w:trPr>
                <w:trHeight w:val="1215"/>
              </w:trPr>
              <w:tc>
                <w:tcPr>
                  <w:tcW w:w="810" w:type="dxa"/>
                  <w:hideMark/>
                </w:tcPr>
                <w:p w14:paraId="47C9B3D3"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8</w:t>
                  </w:r>
                </w:p>
              </w:tc>
              <w:tc>
                <w:tcPr>
                  <w:tcW w:w="2976" w:type="dxa"/>
                  <w:hideMark/>
                </w:tcPr>
                <w:p w14:paraId="20046F02"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Portal no formato de estrela com abertura (3,50m x 3,70m), 3 pontas superiores, passagem de pessoas, estrutura metálica, mangueira LED, tela prata, cordão LED IP44</w:t>
                  </w:r>
                </w:p>
              </w:tc>
              <w:tc>
                <w:tcPr>
                  <w:tcW w:w="1418" w:type="dxa"/>
                  <w:hideMark/>
                </w:tcPr>
                <w:p w14:paraId="652372E5"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2.900,00</w:t>
                  </w:r>
                </w:p>
              </w:tc>
              <w:tc>
                <w:tcPr>
                  <w:tcW w:w="1275" w:type="dxa"/>
                  <w:hideMark/>
                </w:tcPr>
                <w:p w14:paraId="1BFBACDC"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2.920,00</w:t>
                  </w:r>
                </w:p>
              </w:tc>
              <w:tc>
                <w:tcPr>
                  <w:tcW w:w="1560" w:type="dxa"/>
                  <w:hideMark/>
                </w:tcPr>
                <w:p w14:paraId="21233C74"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2+960,00</w:t>
                  </w:r>
                </w:p>
              </w:tc>
              <w:tc>
                <w:tcPr>
                  <w:tcW w:w="1134" w:type="dxa"/>
                  <w:hideMark/>
                </w:tcPr>
                <w:p w14:paraId="5FD30162"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2.900,00</w:t>
                  </w:r>
                </w:p>
              </w:tc>
            </w:tr>
            <w:tr w:rsidR="008426D3" w:rsidRPr="008426D3" w14:paraId="0D8A5F4A" w14:textId="77777777" w:rsidTr="0050675A">
              <w:trPr>
                <w:trHeight w:val="915"/>
              </w:trPr>
              <w:tc>
                <w:tcPr>
                  <w:tcW w:w="810" w:type="dxa"/>
                  <w:hideMark/>
                </w:tcPr>
                <w:p w14:paraId="527AB992"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9</w:t>
                  </w:r>
                </w:p>
              </w:tc>
              <w:tc>
                <w:tcPr>
                  <w:tcW w:w="2976" w:type="dxa"/>
                  <w:hideMark/>
                </w:tcPr>
                <w:p w14:paraId="492DE9A9"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Anjo com trombeta tridimensional (1,90m x 1,65m x 0,70m), estrutura metálica, mangueira LED, tela prata, cordão LED IP44</w:t>
                  </w:r>
                </w:p>
              </w:tc>
              <w:tc>
                <w:tcPr>
                  <w:tcW w:w="1418" w:type="dxa"/>
                  <w:hideMark/>
                </w:tcPr>
                <w:p w14:paraId="0169C726"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6.000,00</w:t>
                  </w:r>
                </w:p>
              </w:tc>
              <w:tc>
                <w:tcPr>
                  <w:tcW w:w="1275" w:type="dxa"/>
                  <w:hideMark/>
                </w:tcPr>
                <w:p w14:paraId="5209AC9C"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6.010,00</w:t>
                  </w:r>
                </w:p>
              </w:tc>
              <w:tc>
                <w:tcPr>
                  <w:tcW w:w="1560" w:type="dxa"/>
                  <w:hideMark/>
                </w:tcPr>
                <w:p w14:paraId="582FB22A"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6.060,00</w:t>
                  </w:r>
                </w:p>
              </w:tc>
              <w:tc>
                <w:tcPr>
                  <w:tcW w:w="1134" w:type="dxa"/>
                  <w:hideMark/>
                </w:tcPr>
                <w:p w14:paraId="38D2E43A"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6.000,00</w:t>
                  </w:r>
                </w:p>
              </w:tc>
            </w:tr>
            <w:tr w:rsidR="008426D3" w:rsidRPr="008426D3" w14:paraId="66623E22" w14:textId="77777777" w:rsidTr="0050675A">
              <w:trPr>
                <w:trHeight w:val="915"/>
              </w:trPr>
              <w:tc>
                <w:tcPr>
                  <w:tcW w:w="810" w:type="dxa"/>
                  <w:hideMark/>
                </w:tcPr>
                <w:p w14:paraId="107641AC"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10</w:t>
                  </w:r>
                </w:p>
              </w:tc>
              <w:tc>
                <w:tcPr>
                  <w:tcW w:w="2976" w:type="dxa"/>
                  <w:hideMark/>
                </w:tcPr>
                <w:p w14:paraId="23C22845"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Painel Sagrada Família com escrita 'Cristo Vive' (2,70m x 8,00m), estrutura metálica, mangueira LED, tela prata, cordão LED IP44</w:t>
                  </w:r>
                </w:p>
              </w:tc>
              <w:tc>
                <w:tcPr>
                  <w:tcW w:w="1418" w:type="dxa"/>
                  <w:hideMark/>
                </w:tcPr>
                <w:p w14:paraId="6A8FAF2A"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5.400,00</w:t>
                  </w:r>
                </w:p>
              </w:tc>
              <w:tc>
                <w:tcPr>
                  <w:tcW w:w="1275" w:type="dxa"/>
                  <w:hideMark/>
                </w:tcPr>
                <w:p w14:paraId="253FBEC4"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5.420,00</w:t>
                  </w:r>
                </w:p>
              </w:tc>
              <w:tc>
                <w:tcPr>
                  <w:tcW w:w="1560" w:type="dxa"/>
                  <w:hideMark/>
                </w:tcPr>
                <w:p w14:paraId="19863D3F"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5.410,00</w:t>
                  </w:r>
                </w:p>
              </w:tc>
              <w:tc>
                <w:tcPr>
                  <w:tcW w:w="1134" w:type="dxa"/>
                  <w:hideMark/>
                </w:tcPr>
                <w:p w14:paraId="4DE85DC5"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5.400,00</w:t>
                  </w:r>
                </w:p>
              </w:tc>
            </w:tr>
            <w:tr w:rsidR="008426D3" w:rsidRPr="008426D3" w14:paraId="5C7DE387" w14:textId="77777777" w:rsidTr="0050675A">
              <w:trPr>
                <w:trHeight w:val="915"/>
              </w:trPr>
              <w:tc>
                <w:tcPr>
                  <w:tcW w:w="810" w:type="dxa"/>
                  <w:hideMark/>
                </w:tcPr>
                <w:p w14:paraId="61F689F2"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11</w:t>
                  </w:r>
                </w:p>
              </w:tc>
              <w:tc>
                <w:tcPr>
                  <w:tcW w:w="2976" w:type="dxa"/>
                  <w:hideMark/>
                </w:tcPr>
                <w:p w14:paraId="4A1702D2"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Painel escrita 'Boas Festas' (1,20m x 5,00m), letra cursiva, estrutura metálica, mangueira LED, retificadores IP44</w:t>
                  </w:r>
                </w:p>
              </w:tc>
              <w:tc>
                <w:tcPr>
                  <w:tcW w:w="1418" w:type="dxa"/>
                  <w:hideMark/>
                </w:tcPr>
                <w:p w14:paraId="6FD4206E"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3.000,00</w:t>
                  </w:r>
                </w:p>
              </w:tc>
              <w:tc>
                <w:tcPr>
                  <w:tcW w:w="1275" w:type="dxa"/>
                  <w:hideMark/>
                </w:tcPr>
                <w:p w14:paraId="37ED1C9D"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3.020,00</w:t>
                  </w:r>
                </w:p>
              </w:tc>
              <w:tc>
                <w:tcPr>
                  <w:tcW w:w="1560" w:type="dxa"/>
                  <w:hideMark/>
                </w:tcPr>
                <w:p w14:paraId="1E6F883B"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3.090,00</w:t>
                  </w:r>
                </w:p>
              </w:tc>
              <w:tc>
                <w:tcPr>
                  <w:tcW w:w="1134" w:type="dxa"/>
                  <w:hideMark/>
                </w:tcPr>
                <w:p w14:paraId="37CA0711"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3.000,00</w:t>
                  </w:r>
                </w:p>
              </w:tc>
            </w:tr>
            <w:tr w:rsidR="008426D3" w:rsidRPr="008426D3" w14:paraId="2C9F9894" w14:textId="77777777" w:rsidTr="0050675A">
              <w:trPr>
                <w:trHeight w:val="915"/>
              </w:trPr>
              <w:tc>
                <w:tcPr>
                  <w:tcW w:w="810" w:type="dxa"/>
                  <w:hideMark/>
                </w:tcPr>
                <w:p w14:paraId="648E8F67"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12</w:t>
                  </w:r>
                </w:p>
              </w:tc>
              <w:tc>
                <w:tcPr>
                  <w:tcW w:w="2976" w:type="dxa"/>
                  <w:hideMark/>
                </w:tcPr>
                <w:p w14:paraId="4C2048B2"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Árvore redonda com asas (6,00m x 3,00m x 3,00m), duas asas com 5 voltas, LED branco frio nas asas, LED branco quente na árvore, IP44</w:t>
                  </w:r>
                </w:p>
              </w:tc>
              <w:tc>
                <w:tcPr>
                  <w:tcW w:w="1418" w:type="dxa"/>
                  <w:hideMark/>
                </w:tcPr>
                <w:p w14:paraId="0D91AC2F"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18.000,00</w:t>
                  </w:r>
                </w:p>
              </w:tc>
              <w:tc>
                <w:tcPr>
                  <w:tcW w:w="1275" w:type="dxa"/>
                  <w:hideMark/>
                </w:tcPr>
                <w:p w14:paraId="2887408C"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18.050,00</w:t>
                  </w:r>
                </w:p>
              </w:tc>
              <w:tc>
                <w:tcPr>
                  <w:tcW w:w="1560" w:type="dxa"/>
                  <w:hideMark/>
                </w:tcPr>
                <w:p w14:paraId="67C3FA8C"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18.090,00</w:t>
                  </w:r>
                </w:p>
              </w:tc>
              <w:tc>
                <w:tcPr>
                  <w:tcW w:w="1134" w:type="dxa"/>
                  <w:hideMark/>
                </w:tcPr>
                <w:p w14:paraId="646FB5D5"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18.000,00</w:t>
                  </w:r>
                </w:p>
              </w:tc>
            </w:tr>
            <w:tr w:rsidR="008426D3" w:rsidRPr="008426D3" w14:paraId="1BF62469" w14:textId="77777777" w:rsidTr="0050675A">
              <w:trPr>
                <w:trHeight w:val="915"/>
              </w:trPr>
              <w:tc>
                <w:tcPr>
                  <w:tcW w:w="810" w:type="dxa"/>
                  <w:hideMark/>
                </w:tcPr>
                <w:p w14:paraId="01AD2456"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lastRenderedPageBreak/>
                    <w:t>13</w:t>
                  </w:r>
                </w:p>
              </w:tc>
              <w:tc>
                <w:tcPr>
                  <w:tcW w:w="2976" w:type="dxa"/>
                  <w:hideMark/>
                </w:tcPr>
                <w:p w14:paraId="6A579E0E"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Cascata 400 LED com strobo (340 fixos, 60 strobo), 10m comprimento, 50 caídas, fio branco, IP44, fonte retificadora IP65, 220V</w:t>
                  </w:r>
                </w:p>
              </w:tc>
              <w:tc>
                <w:tcPr>
                  <w:tcW w:w="1418" w:type="dxa"/>
                  <w:hideMark/>
                </w:tcPr>
                <w:p w14:paraId="3E575C60"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120</w:t>
                  </w:r>
                </w:p>
              </w:tc>
              <w:tc>
                <w:tcPr>
                  <w:tcW w:w="1275" w:type="dxa"/>
                  <w:hideMark/>
                </w:tcPr>
                <w:p w14:paraId="387F9ED3"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122</w:t>
                  </w:r>
                </w:p>
              </w:tc>
              <w:tc>
                <w:tcPr>
                  <w:tcW w:w="1560" w:type="dxa"/>
                  <w:hideMark/>
                </w:tcPr>
                <w:p w14:paraId="12FCD73A"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125</w:t>
                  </w:r>
                </w:p>
              </w:tc>
              <w:tc>
                <w:tcPr>
                  <w:tcW w:w="1134" w:type="dxa"/>
                  <w:hideMark/>
                </w:tcPr>
                <w:p w14:paraId="08D985FE"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120</w:t>
                  </w:r>
                </w:p>
              </w:tc>
            </w:tr>
            <w:tr w:rsidR="008426D3" w:rsidRPr="008426D3" w14:paraId="7D534E3B" w14:textId="77777777" w:rsidTr="0050675A">
              <w:trPr>
                <w:trHeight w:val="615"/>
              </w:trPr>
              <w:tc>
                <w:tcPr>
                  <w:tcW w:w="810" w:type="dxa"/>
                  <w:hideMark/>
                </w:tcPr>
                <w:p w14:paraId="4CDFA064"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14</w:t>
                  </w:r>
                </w:p>
              </w:tc>
              <w:tc>
                <w:tcPr>
                  <w:tcW w:w="2976" w:type="dxa"/>
                  <w:hideMark/>
                </w:tcPr>
                <w:p w14:paraId="3A190AC6"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Mangueira luminosa 42 LED/m com strobo (12mm), rolo 100m, uso externo, IP44, 220V, cor branco quente</w:t>
                  </w:r>
                </w:p>
              </w:tc>
              <w:tc>
                <w:tcPr>
                  <w:tcW w:w="1418" w:type="dxa"/>
                  <w:hideMark/>
                </w:tcPr>
                <w:p w14:paraId="6DBF1DBA" w14:textId="5A7D5C55"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750</w:t>
                  </w:r>
                  <w:r w:rsidR="00A471BA">
                    <w:rPr>
                      <w:rFonts w:ascii="Times New Roman" w:eastAsia="Times New Roman" w:hAnsi="Times New Roman" w:cs="Times New Roman"/>
                      <w:color w:val="000000"/>
                      <w:sz w:val="20"/>
                      <w:szCs w:val="20"/>
                    </w:rPr>
                    <w:t>,00</w:t>
                  </w:r>
                </w:p>
              </w:tc>
              <w:tc>
                <w:tcPr>
                  <w:tcW w:w="1275" w:type="dxa"/>
                  <w:hideMark/>
                </w:tcPr>
                <w:p w14:paraId="57E45391" w14:textId="06E0B95D"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760</w:t>
                  </w:r>
                  <w:r w:rsidR="00A471BA">
                    <w:rPr>
                      <w:rFonts w:ascii="Times New Roman" w:eastAsia="Times New Roman" w:hAnsi="Times New Roman" w:cs="Times New Roman"/>
                      <w:color w:val="000000"/>
                      <w:sz w:val="20"/>
                      <w:szCs w:val="20"/>
                    </w:rPr>
                    <w:t>,00</w:t>
                  </w:r>
                </w:p>
              </w:tc>
              <w:tc>
                <w:tcPr>
                  <w:tcW w:w="1560" w:type="dxa"/>
                  <w:hideMark/>
                </w:tcPr>
                <w:p w14:paraId="6D66CA33" w14:textId="667F8173"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770</w:t>
                  </w:r>
                  <w:r w:rsidR="00A471BA">
                    <w:rPr>
                      <w:rFonts w:ascii="Times New Roman" w:eastAsia="Times New Roman" w:hAnsi="Times New Roman" w:cs="Times New Roman"/>
                      <w:color w:val="000000"/>
                      <w:sz w:val="20"/>
                      <w:szCs w:val="20"/>
                    </w:rPr>
                    <w:t>,00</w:t>
                  </w:r>
                </w:p>
              </w:tc>
              <w:tc>
                <w:tcPr>
                  <w:tcW w:w="1134" w:type="dxa"/>
                  <w:hideMark/>
                </w:tcPr>
                <w:p w14:paraId="1B67EF48" w14:textId="59FE679A"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750</w:t>
                  </w:r>
                  <w:r w:rsidR="00A471BA">
                    <w:rPr>
                      <w:rFonts w:ascii="Times New Roman" w:eastAsia="Times New Roman" w:hAnsi="Times New Roman" w:cs="Times New Roman"/>
                      <w:color w:val="000000"/>
                      <w:sz w:val="20"/>
                      <w:szCs w:val="20"/>
                    </w:rPr>
                    <w:t>,00</w:t>
                  </w:r>
                </w:p>
              </w:tc>
            </w:tr>
            <w:tr w:rsidR="008426D3" w:rsidRPr="008426D3" w14:paraId="501F8856" w14:textId="77777777" w:rsidTr="0050675A">
              <w:trPr>
                <w:trHeight w:val="915"/>
              </w:trPr>
              <w:tc>
                <w:tcPr>
                  <w:tcW w:w="810" w:type="dxa"/>
                  <w:hideMark/>
                </w:tcPr>
                <w:p w14:paraId="7FED2CA9"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15</w:t>
                  </w:r>
                </w:p>
              </w:tc>
              <w:tc>
                <w:tcPr>
                  <w:tcW w:w="2976" w:type="dxa"/>
                  <w:hideMark/>
                </w:tcPr>
                <w:p w14:paraId="48D739B8"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Árvore de faixas futurista com Estrela de Belém na ponta (4,50m x 2,25m x 2,25m), estrutura metálica, mangueira LED, tela prata, cordão LED IP44</w:t>
                  </w:r>
                </w:p>
              </w:tc>
              <w:tc>
                <w:tcPr>
                  <w:tcW w:w="1418" w:type="dxa"/>
                  <w:hideMark/>
                </w:tcPr>
                <w:p w14:paraId="03CE1819"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9.800,00</w:t>
                  </w:r>
                </w:p>
              </w:tc>
              <w:tc>
                <w:tcPr>
                  <w:tcW w:w="1275" w:type="dxa"/>
                  <w:hideMark/>
                </w:tcPr>
                <w:p w14:paraId="147F18CE"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9.820,00</w:t>
                  </w:r>
                </w:p>
              </w:tc>
              <w:tc>
                <w:tcPr>
                  <w:tcW w:w="1560" w:type="dxa"/>
                  <w:hideMark/>
                </w:tcPr>
                <w:p w14:paraId="6AE74045"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9.890,00</w:t>
                  </w:r>
                </w:p>
              </w:tc>
              <w:tc>
                <w:tcPr>
                  <w:tcW w:w="1134" w:type="dxa"/>
                  <w:hideMark/>
                </w:tcPr>
                <w:p w14:paraId="44998210"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9.800,00</w:t>
                  </w:r>
                </w:p>
              </w:tc>
            </w:tr>
            <w:tr w:rsidR="008426D3" w:rsidRPr="008426D3" w14:paraId="2D95D5C7" w14:textId="77777777" w:rsidTr="0050675A">
              <w:trPr>
                <w:trHeight w:val="915"/>
              </w:trPr>
              <w:tc>
                <w:tcPr>
                  <w:tcW w:w="810" w:type="dxa"/>
                  <w:hideMark/>
                </w:tcPr>
                <w:p w14:paraId="64BE33FD"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16</w:t>
                  </w:r>
                </w:p>
              </w:tc>
              <w:tc>
                <w:tcPr>
                  <w:tcW w:w="2976" w:type="dxa"/>
                  <w:hideMark/>
                </w:tcPr>
                <w:p w14:paraId="6FDD6E90"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Árvore natalina 2,10m, 936 galhos, pé de ferro, decorada com bolas, flores, hastes e cordão LED 25m/250 lâmpadas</w:t>
                  </w:r>
                </w:p>
              </w:tc>
              <w:tc>
                <w:tcPr>
                  <w:tcW w:w="1418" w:type="dxa"/>
                  <w:hideMark/>
                </w:tcPr>
                <w:p w14:paraId="1CE77B9B"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2.800,00</w:t>
                  </w:r>
                </w:p>
              </w:tc>
              <w:tc>
                <w:tcPr>
                  <w:tcW w:w="1275" w:type="dxa"/>
                  <w:hideMark/>
                </w:tcPr>
                <w:p w14:paraId="777DB55C"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2.820,00</w:t>
                  </w:r>
                </w:p>
              </w:tc>
              <w:tc>
                <w:tcPr>
                  <w:tcW w:w="1560" w:type="dxa"/>
                  <w:hideMark/>
                </w:tcPr>
                <w:p w14:paraId="2CA37246"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2.860,00</w:t>
                  </w:r>
                </w:p>
              </w:tc>
              <w:tc>
                <w:tcPr>
                  <w:tcW w:w="1134" w:type="dxa"/>
                  <w:hideMark/>
                </w:tcPr>
                <w:p w14:paraId="1563B7FB"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2.800,00</w:t>
                  </w:r>
                </w:p>
              </w:tc>
            </w:tr>
            <w:tr w:rsidR="008426D3" w:rsidRPr="008426D3" w14:paraId="54FA25F7" w14:textId="77777777" w:rsidTr="0050675A">
              <w:trPr>
                <w:trHeight w:val="915"/>
              </w:trPr>
              <w:tc>
                <w:tcPr>
                  <w:tcW w:w="810" w:type="dxa"/>
                  <w:hideMark/>
                </w:tcPr>
                <w:p w14:paraId="1AD4A06B" w14:textId="4514AC0D"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w:t>
                  </w:r>
                  <w:r w:rsidR="00F86A47">
                    <w:rPr>
                      <w:rFonts w:ascii="Times New Roman" w:eastAsia="Times New Roman" w:hAnsi="Times New Roman" w:cs="Times New Roman"/>
                      <w:color w:val="000000"/>
                      <w:sz w:val="20"/>
                      <w:szCs w:val="20"/>
                    </w:rPr>
                    <w:t>7</w:t>
                  </w:r>
                </w:p>
              </w:tc>
              <w:tc>
                <w:tcPr>
                  <w:tcW w:w="2976" w:type="dxa"/>
                  <w:hideMark/>
                </w:tcPr>
                <w:p w14:paraId="6A1AF260"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Escultura espiral tridimensional para árvores e postes (2,00m x 1,00m x 1,00m), estrutura metálica, mangueira LED, tela prata, cordão LED IP44</w:t>
                  </w:r>
                </w:p>
              </w:tc>
              <w:tc>
                <w:tcPr>
                  <w:tcW w:w="1418" w:type="dxa"/>
                  <w:noWrap/>
                  <w:hideMark/>
                </w:tcPr>
                <w:p w14:paraId="26D12DFC"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2.000,00</w:t>
                  </w:r>
                </w:p>
              </w:tc>
              <w:tc>
                <w:tcPr>
                  <w:tcW w:w="1275" w:type="dxa"/>
                  <w:noWrap/>
                  <w:hideMark/>
                </w:tcPr>
                <w:p w14:paraId="41DDDF9C"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2.020,00</w:t>
                  </w:r>
                </w:p>
              </w:tc>
              <w:tc>
                <w:tcPr>
                  <w:tcW w:w="1560" w:type="dxa"/>
                  <w:noWrap/>
                  <w:hideMark/>
                </w:tcPr>
                <w:p w14:paraId="77D82CF3"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2.090,00</w:t>
                  </w:r>
                </w:p>
              </w:tc>
              <w:tc>
                <w:tcPr>
                  <w:tcW w:w="1134" w:type="dxa"/>
                  <w:noWrap/>
                  <w:hideMark/>
                </w:tcPr>
                <w:p w14:paraId="3B4158D8"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2.000,00</w:t>
                  </w:r>
                </w:p>
              </w:tc>
            </w:tr>
            <w:tr w:rsidR="008426D3" w:rsidRPr="008426D3" w14:paraId="5F6B4D7F" w14:textId="77777777" w:rsidTr="0050675A">
              <w:trPr>
                <w:trHeight w:val="915"/>
              </w:trPr>
              <w:tc>
                <w:tcPr>
                  <w:tcW w:w="810" w:type="dxa"/>
                  <w:hideMark/>
                </w:tcPr>
                <w:p w14:paraId="1B8F6A38" w14:textId="74CDFBD2"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w:t>
                  </w:r>
                  <w:r w:rsidR="00F86A47">
                    <w:rPr>
                      <w:rFonts w:ascii="Times New Roman" w:eastAsia="Times New Roman" w:hAnsi="Times New Roman" w:cs="Times New Roman"/>
                      <w:color w:val="000000"/>
                      <w:sz w:val="20"/>
                      <w:szCs w:val="20"/>
                    </w:rPr>
                    <w:t>8</w:t>
                  </w:r>
                </w:p>
              </w:tc>
              <w:tc>
                <w:tcPr>
                  <w:tcW w:w="2976" w:type="dxa"/>
                  <w:hideMark/>
                </w:tcPr>
                <w:p w14:paraId="67EAB8FD"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Árvore espiral com faixas e Estrela de Belém no topo (4,50m x 2,25m x 2,25m), estrutura metálica, mangueira LED, tela prata, cordão LED IP44</w:t>
                  </w:r>
                </w:p>
              </w:tc>
              <w:tc>
                <w:tcPr>
                  <w:tcW w:w="1418" w:type="dxa"/>
                  <w:noWrap/>
                  <w:hideMark/>
                </w:tcPr>
                <w:p w14:paraId="32C7A92A"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10.000,00</w:t>
                  </w:r>
                </w:p>
              </w:tc>
              <w:tc>
                <w:tcPr>
                  <w:tcW w:w="1275" w:type="dxa"/>
                  <w:noWrap/>
                  <w:hideMark/>
                </w:tcPr>
                <w:p w14:paraId="30B16F46"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10.050,00</w:t>
                  </w:r>
                </w:p>
              </w:tc>
              <w:tc>
                <w:tcPr>
                  <w:tcW w:w="1560" w:type="dxa"/>
                  <w:noWrap/>
                  <w:hideMark/>
                </w:tcPr>
                <w:p w14:paraId="2206A10E"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10.200,00</w:t>
                  </w:r>
                </w:p>
              </w:tc>
              <w:tc>
                <w:tcPr>
                  <w:tcW w:w="1134" w:type="dxa"/>
                  <w:noWrap/>
                  <w:hideMark/>
                </w:tcPr>
                <w:p w14:paraId="735D5AA4"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10.000,00</w:t>
                  </w:r>
                </w:p>
              </w:tc>
            </w:tr>
            <w:tr w:rsidR="008426D3" w:rsidRPr="008426D3" w14:paraId="5DBDB233" w14:textId="77777777" w:rsidTr="0050675A">
              <w:trPr>
                <w:trHeight w:val="1215"/>
              </w:trPr>
              <w:tc>
                <w:tcPr>
                  <w:tcW w:w="810" w:type="dxa"/>
                  <w:hideMark/>
                </w:tcPr>
                <w:p w14:paraId="3288EE29" w14:textId="4AF63785" w:rsidR="008426D3" w:rsidRPr="008426D3" w:rsidRDefault="00F86A47" w:rsidP="008426D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w:t>
                  </w:r>
                </w:p>
              </w:tc>
              <w:tc>
                <w:tcPr>
                  <w:tcW w:w="2976" w:type="dxa"/>
                  <w:hideMark/>
                </w:tcPr>
                <w:p w14:paraId="4A255962" w14:textId="77777777"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Casinha do Papai Noel em madeira de eucalipto (3,00m x 3,00m x 3,52m), com base de concreto, cerca, pintura, iluminação elétrica, portas e janelas coloniais, instalação inclusa</w:t>
                  </w:r>
                </w:p>
              </w:tc>
              <w:tc>
                <w:tcPr>
                  <w:tcW w:w="1418" w:type="dxa"/>
                  <w:noWrap/>
                  <w:hideMark/>
                </w:tcPr>
                <w:p w14:paraId="15E2F12D"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19.500,00</w:t>
                  </w:r>
                </w:p>
              </w:tc>
              <w:tc>
                <w:tcPr>
                  <w:tcW w:w="1275" w:type="dxa"/>
                  <w:noWrap/>
                  <w:hideMark/>
                </w:tcPr>
                <w:p w14:paraId="3E4B0664"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19.550,00</w:t>
                  </w:r>
                </w:p>
              </w:tc>
              <w:tc>
                <w:tcPr>
                  <w:tcW w:w="1560" w:type="dxa"/>
                  <w:noWrap/>
                  <w:hideMark/>
                </w:tcPr>
                <w:p w14:paraId="5F410943"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19.900,00</w:t>
                  </w:r>
                </w:p>
              </w:tc>
              <w:tc>
                <w:tcPr>
                  <w:tcW w:w="1134" w:type="dxa"/>
                  <w:noWrap/>
                  <w:hideMark/>
                </w:tcPr>
                <w:p w14:paraId="5D0D2E7F"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19.500,00</w:t>
                  </w:r>
                </w:p>
              </w:tc>
            </w:tr>
            <w:tr w:rsidR="008426D3" w:rsidRPr="008426D3" w14:paraId="39709626" w14:textId="77777777" w:rsidTr="0050675A">
              <w:trPr>
                <w:trHeight w:val="615"/>
              </w:trPr>
              <w:tc>
                <w:tcPr>
                  <w:tcW w:w="810" w:type="dxa"/>
                  <w:hideMark/>
                </w:tcPr>
                <w:p w14:paraId="516A363A" w14:textId="7DFC6E2F"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2</w:t>
                  </w:r>
                  <w:r w:rsidR="00F86A47">
                    <w:rPr>
                      <w:rFonts w:ascii="Times New Roman" w:eastAsia="Times New Roman" w:hAnsi="Times New Roman" w:cs="Times New Roman"/>
                      <w:color w:val="000000"/>
                      <w:sz w:val="20"/>
                      <w:szCs w:val="20"/>
                    </w:rPr>
                    <w:t>0</w:t>
                  </w:r>
                </w:p>
              </w:tc>
              <w:tc>
                <w:tcPr>
                  <w:tcW w:w="2976" w:type="dxa"/>
                  <w:hideMark/>
                </w:tcPr>
                <w:p w14:paraId="72AF37E4" w14:textId="32D2A5EA" w:rsidR="008426D3" w:rsidRPr="008426D3" w:rsidRDefault="008426D3" w:rsidP="008426D3">
                  <w:pPr>
                    <w:jc w:val="both"/>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Serviço de instalação, manutenção e retirada de todos os itens, incluindo transporte</w:t>
                  </w:r>
                </w:p>
              </w:tc>
              <w:tc>
                <w:tcPr>
                  <w:tcW w:w="1418" w:type="dxa"/>
                  <w:noWrap/>
                  <w:hideMark/>
                </w:tcPr>
                <w:p w14:paraId="47002A73"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56.000,00</w:t>
                  </w:r>
                </w:p>
              </w:tc>
              <w:tc>
                <w:tcPr>
                  <w:tcW w:w="1275" w:type="dxa"/>
                  <w:noWrap/>
                  <w:hideMark/>
                </w:tcPr>
                <w:p w14:paraId="6C696B18"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56.200,00</w:t>
                  </w:r>
                </w:p>
              </w:tc>
              <w:tc>
                <w:tcPr>
                  <w:tcW w:w="1560" w:type="dxa"/>
                  <w:noWrap/>
                  <w:hideMark/>
                </w:tcPr>
                <w:p w14:paraId="233E7873"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56.900,00</w:t>
                  </w:r>
                </w:p>
              </w:tc>
              <w:tc>
                <w:tcPr>
                  <w:tcW w:w="1134" w:type="dxa"/>
                  <w:noWrap/>
                  <w:hideMark/>
                </w:tcPr>
                <w:p w14:paraId="2E9F89A7" w14:textId="77777777" w:rsidR="008426D3" w:rsidRPr="008426D3" w:rsidRDefault="008426D3" w:rsidP="008426D3">
                  <w:pPr>
                    <w:jc w:val="center"/>
                    <w:rPr>
                      <w:rFonts w:ascii="Times New Roman" w:eastAsia="Times New Roman" w:hAnsi="Times New Roman" w:cs="Times New Roman"/>
                      <w:color w:val="000000"/>
                      <w:sz w:val="20"/>
                      <w:szCs w:val="20"/>
                    </w:rPr>
                  </w:pPr>
                  <w:r w:rsidRPr="008426D3">
                    <w:rPr>
                      <w:rFonts w:ascii="Times New Roman" w:eastAsia="Times New Roman" w:hAnsi="Times New Roman" w:cs="Times New Roman"/>
                      <w:color w:val="000000"/>
                      <w:sz w:val="20"/>
                      <w:szCs w:val="20"/>
                    </w:rPr>
                    <w:t>56.000,00</w:t>
                  </w:r>
                </w:p>
              </w:tc>
            </w:tr>
          </w:tbl>
          <w:p w14:paraId="3BFC2E25" w14:textId="77777777" w:rsidR="00D42EEA" w:rsidRPr="003F6167" w:rsidRDefault="00D42EEA" w:rsidP="00393E08">
            <w:pPr>
              <w:rPr>
                <w:rFonts w:ascii="Times New Roman" w:hAnsi="Times New Roman" w:cs="Times New Roman"/>
              </w:rPr>
            </w:pPr>
          </w:p>
          <w:p w14:paraId="155BBE76" w14:textId="226F5B9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Valor total estimado da contratação: R$ 34</w:t>
            </w:r>
            <w:r w:rsidR="00F86A47">
              <w:rPr>
                <w:rFonts w:ascii="Times New Roman" w:hAnsi="Times New Roman" w:cs="Times New Roman"/>
                <w:b/>
                <w:bCs/>
                <w:color w:val="000000"/>
              </w:rPr>
              <w:t>1</w:t>
            </w:r>
            <w:r w:rsidRPr="003F6167">
              <w:rPr>
                <w:rFonts w:ascii="Times New Roman" w:hAnsi="Times New Roman" w:cs="Times New Roman"/>
                <w:b/>
                <w:bCs/>
                <w:color w:val="000000"/>
              </w:rPr>
              <w:t>.</w:t>
            </w:r>
            <w:r w:rsidR="00F86A47">
              <w:rPr>
                <w:rFonts w:ascii="Times New Roman" w:hAnsi="Times New Roman" w:cs="Times New Roman"/>
                <w:b/>
                <w:bCs/>
                <w:color w:val="000000"/>
              </w:rPr>
              <w:t>3</w:t>
            </w:r>
            <w:r w:rsidRPr="003F6167">
              <w:rPr>
                <w:rFonts w:ascii="Times New Roman" w:hAnsi="Times New Roman" w:cs="Times New Roman"/>
                <w:b/>
                <w:bCs/>
                <w:color w:val="000000"/>
              </w:rPr>
              <w:t xml:space="preserve">20,00 (trezentos e quarenta e </w:t>
            </w:r>
            <w:r w:rsidR="00F86A47">
              <w:rPr>
                <w:rFonts w:ascii="Times New Roman" w:hAnsi="Times New Roman" w:cs="Times New Roman"/>
                <w:b/>
                <w:bCs/>
                <w:color w:val="000000"/>
              </w:rPr>
              <w:t>um</w:t>
            </w:r>
            <w:r w:rsidRPr="003F6167">
              <w:rPr>
                <w:rFonts w:ascii="Times New Roman" w:hAnsi="Times New Roman" w:cs="Times New Roman"/>
                <w:b/>
                <w:bCs/>
                <w:color w:val="000000"/>
              </w:rPr>
              <w:t xml:space="preserve"> mil, </w:t>
            </w:r>
            <w:r w:rsidR="00F86A47">
              <w:rPr>
                <w:rFonts w:ascii="Times New Roman" w:hAnsi="Times New Roman" w:cs="Times New Roman"/>
                <w:b/>
                <w:bCs/>
                <w:color w:val="000000"/>
              </w:rPr>
              <w:t>trezentos</w:t>
            </w:r>
            <w:r w:rsidRPr="003F6167">
              <w:rPr>
                <w:rFonts w:ascii="Times New Roman" w:hAnsi="Times New Roman" w:cs="Times New Roman"/>
                <w:b/>
                <w:bCs/>
                <w:color w:val="000000"/>
              </w:rPr>
              <w:t xml:space="preserve"> e vinte reais).</w:t>
            </w:r>
          </w:p>
          <w:p w14:paraId="3C1FF112"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Os documentos comprobatórios da pesquisa de preços (proposta comercial, comparativos e memória de cálculo) encontram-se em documento apartado nos autos do processo administrativo, podendo ser tratados como sigilosos até a conclusão da licitação, nos termos do art. 24 da Lei nº 14.133/2021.</w:t>
            </w:r>
          </w:p>
          <w:p w14:paraId="30700932"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Recomenda-se obter ao menos mais uma cotação de mercado para reforçar a fundamentação da estimativa de preços, conforme exigência do art. 23, § 1º, da Lei nº 14.133/2021, que prevê preferencialmente mais de uma fonte.</w:t>
            </w:r>
          </w:p>
        </w:tc>
      </w:tr>
      <w:tr w:rsidR="00D42EEA" w:rsidRPr="003F6167" w14:paraId="0AC0D6B3"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698ABEA6"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lastRenderedPageBreak/>
              <w:t>7. Descrição da solução como um todo</w:t>
            </w:r>
          </w:p>
        </w:tc>
      </w:tr>
      <w:tr w:rsidR="00D42EEA" w:rsidRPr="003F6167" w14:paraId="2F6FA283"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526C3C03"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 solução consiste na contratação de empresa especializada para locação, instalação, manutenção e desmontagem de decoração natalina temática (iluminação e enfeites) nas praças, avenidas e espaços públicos do Município de Palmitos/SC, durante o período das festividades natalinas de 2026, compreendendo 21 itens organizados em lote global.</w:t>
            </w:r>
          </w:p>
          <w:p w14:paraId="1D47315C"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 contratação abrange, em caráter integrado e sob responsabilidade de um único contratado:</w:t>
            </w:r>
          </w:p>
          <w:p w14:paraId="4F3D49F9"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Locação dos elementos decorativos e de iluminação, conforme especificações técnicas estabelecidas neste ETP e no Termo de Referência;</w:t>
            </w:r>
          </w:p>
          <w:p w14:paraId="7D4BAE18"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Transporte, carga e descarga dos materiais até os locais de instalação indicados pela Administração;</w:t>
            </w:r>
          </w:p>
          <w:p w14:paraId="5B62CA59" w14:textId="6F870D50"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Instalação e configuração de todos os elementos, incluindo conexões elétricas necessárias ao funcionamento;</w:t>
            </w:r>
          </w:p>
          <w:p w14:paraId="77F9AD71"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lastRenderedPageBreak/>
              <w:t>Manutenção preventiva e corretiva durante todo o período de exposição ao público, garantindo o pleno funcionamento das estruturas;</w:t>
            </w:r>
          </w:p>
          <w:p w14:paraId="407FC495"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Desmontagem e retirada de todos os materiais ao término do período contratual, restituindo os espaços públicos às condições originais.</w:t>
            </w:r>
          </w:p>
          <w:p w14:paraId="630B4002"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Considerado o ciclo de vida do objeto, a solução abrange:</w:t>
            </w:r>
          </w:p>
          <w:p w14:paraId="41A366B8"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Fase de implantação: inspeção dos locais, definição final dos pontos de instalação, transporte e montagem de todos os elementos;</w:t>
            </w:r>
          </w:p>
          <w:p w14:paraId="34A8658E"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Fase de operação: funcionamento contínuo da decoração durante o período festivo, com manutenção regular e suporte técnico em plantão;</w:t>
            </w:r>
          </w:p>
          <w:p w14:paraId="3B4CC1B7"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Fase de encerramento: desmontagem ordenada, retirada dos materiais e liberação dos espaços públicos.</w:t>
            </w:r>
          </w:p>
          <w:p w14:paraId="23ADAF85" w14:textId="77777777" w:rsidR="00376423" w:rsidRDefault="00376423" w:rsidP="00393E08">
            <w:pPr>
              <w:jc w:val="both"/>
              <w:rPr>
                <w:rFonts w:ascii="Times New Roman" w:hAnsi="Times New Roman" w:cs="Times New Roman"/>
              </w:rPr>
            </w:pPr>
            <w:r w:rsidRPr="00376423">
              <w:rPr>
                <w:rFonts w:ascii="Times New Roman" w:hAnsi="Times New Roman" w:cs="Times New Roman"/>
              </w:rPr>
              <w:t>O consumo de energia elétrica será de responsabilidade do Município, cabendo à contratada apenas o fornecimento, instalação e funcionamento dos equipamentos.</w:t>
            </w:r>
          </w:p>
          <w:p w14:paraId="0B36CEE6" w14:textId="2081B8E6" w:rsidR="00376423" w:rsidRPr="00376423" w:rsidRDefault="00376423" w:rsidP="00393E08">
            <w:pPr>
              <w:jc w:val="both"/>
              <w:rPr>
                <w:rFonts w:ascii="Times New Roman" w:hAnsi="Times New Roman" w:cs="Times New Roman"/>
              </w:rPr>
            </w:pPr>
            <w:r w:rsidRPr="00376423">
              <w:rPr>
                <w:rFonts w:ascii="Times New Roman" w:hAnsi="Times New Roman" w:cs="Times New Roman"/>
              </w:rPr>
              <w:t>Recomenda-se a realização de Pregão Eletrônico, com critério de julgamento pelo menor preço global do lote.</w:t>
            </w:r>
          </w:p>
          <w:p w14:paraId="2D7CFFD7" w14:textId="59761FC5" w:rsidR="00D42EEA" w:rsidRPr="003F6167" w:rsidRDefault="008E319C" w:rsidP="00393E08">
            <w:pPr>
              <w:jc w:val="both"/>
              <w:rPr>
                <w:rFonts w:ascii="Times New Roman" w:hAnsi="Times New Roman" w:cs="Times New Roman"/>
              </w:rPr>
            </w:pPr>
            <w:r w:rsidRPr="00B30BDA">
              <w:rPr>
                <w:rFonts w:ascii="Times New Roman" w:hAnsi="Times New Roman" w:cs="Times New Roman"/>
              </w:rPr>
              <w:t xml:space="preserve">A instalação deverá ocorrer até 20 de novembro de 2026, permanecendo a decoração em funcionamento até 06 de janeiro de 2027, com </w:t>
            </w:r>
            <w:r w:rsidRPr="008E319C">
              <w:rPr>
                <w:rFonts w:ascii="Times New Roman" w:hAnsi="Times New Roman" w:cs="Times New Roman"/>
                <w:color w:val="000000"/>
              </w:rPr>
              <w:t>desmontagem em até 15 dias após o encerramento das festividades.</w:t>
            </w:r>
          </w:p>
        </w:tc>
      </w:tr>
      <w:tr w:rsidR="00D42EEA" w:rsidRPr="003F6167" w14:paraId="500487C7"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68BA5966"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lastRenderedPageBreak/>
              <w:t>8. Justificativa do não parcelamento do objeto</w:t>
            </w:r>
          </w:p>
        </w:tc>
      </w:tr>
      <w:tr w:rsidR="00D42EEA" w:rsidRPr="003F6167" w14:paraId="29192C48"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3505717F"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O objeto será contratado em lote único (lote global), abrangendo todos os itens de locação, instalação, manutenção e desmontagem, sem parcelamento, pelas seguintes razões técnicas e operacionais:</w:t>
            </w:r>
          </w:p>
          <w:p w14:paraId="2CDFE610"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Coerência visual e estética: os materiais decorativos e de iluminação precisam apresentar padrão estético e técnico compatível entre si, assegurando harmonia visual no conjunto das festividades. O parcelamento por tipo de elemento poderia gerar divergências de tonalidade de luz, formatos, tamanhos e acabamentos entre fornecedores diferentes, comprometendo o resultado final.</w:t>
            </w:r>
          </w:p>
          <w:p w14:paraId="2489ADE2"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Interdependência técnica: a instalação dos elementos de iluminação, estruturas metálicas e enfeites é interdependente e deve ser executada de forma coordenada por uma única empresa, que conhece as características de todos os materiais e pode garantir a compatibilidade elétrica e estrutural do conjunto.</w:t>
            </w:r>
          </w:p>
          <w:p w14:paraId="50E0882C"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Integração logística: a locação, o transporte, a instalação, a manutenção e a desmontagem são atividades logisticamente integradas. A contratação fragmentada multiplicaria pontos de responsabilidade, dificultaria o gerenciamento e aumentaria o risco de atrasos e falhas.</w:t>
            </w:r>
          </w:p>
          <w:p w14:paraId="50D4EE5A"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Estrutura do mercado: o levantamento de mercado revelou que as empresas especializadas do setor oferecem soluções integradas de decoração natalina, com catálogos completos de itens complementares, o que reforça a inviabilidade técnica e operacional do parcelamento.</w:t>
            </w:r>
          </w:p>
          <w:p w14:paraId="67D44DCA" w14:textId="77777777" w:rsidR="00376423" w:rsidRDefault="00376423" w:rsidP="00393E08">
            <w:pPr>
              <w:jc w:val="both"/>
              <w:rPr>
                <w:rFonts w:ascii="Times New Roman" w:hAnsi="Times New Roman" w:cs="Times New Roman"/>
                <w:color w:val="000000"/>
              </w:rPr>
            </w:pPr>
            <w:r w:rsidRPr="00376423">
              <w:rPr>
                <w:rFonts w:ascii="Times New Roman" w:hAnsi="Times New Roman" w:cs="Times New Roman"/>
                <w:color w:val="000000"/>
              </w:rPr>
              <w:t>O não parcelamento observa o art. 40, §3º, da Lei nº 14.133/2021, diante da inviabilidade técnica da divisão do objeto e da necessidade de padronização estética e operacional.</w:t>
            </w:r>
          </w:p>
          <w:p w14:paraId="1C8EB096" w14:textId="420F80FD"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 contratação em lote único mostra-se mais eficiente, econômica e adequada ao interesse público, assegurando uniformidade estética, centralização de responsabilidade, praticidade na gestão contratual e redução de riscos operacionais, em conformidade com os princípios da eficiência e economicidade previstos no art. 5º da Lei nº 14.133/2021.</w:t>
            </w:r>
          </w:p>
        </w:tc>
      </w:tr>
      <w:tr w:rsidR="00D42EEA" w:rsidRPr="003F6167" w14:paraId="203E2DB6"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45C48C10"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t>9. Demonstrativo dos resultados pretendidos</w:t>
            </w:r>
          </w:p>
        </w:tc>
      </w:tr>
      <w:tr w:rsidR="00D42EEA" w:rsidRPr="003F6167" w14:paraId="6CDD052D"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35E53DA5"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Com a contratação pretendida, a Administração Municipal busca alcançar os seguintes resultados:</w:t>
            </w:r>
          </w:p>
          <w:p w14:paraId="1DF3D2F8"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Para a comunidade e os espaços públicos:</w:t>
            </w:r>
          </w:p>
          <w:p w14:paraId="2DF12F10"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Embelezamento e valorização das praças, avenidas e logradouros públicos de Palmitos durante o período natalino;</w:t>
            </w:r>
          </w:p>
          <w:p w14:paraId="18A750C8"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Criação de ambiente acolhedor, festivo e de convivência comunitária para munícipes, famílias e visitantes;</w:t>
            </w:r>
          </w:p>
          <w:p w14:paraId="65D2C592"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Valorização da identidade cultural do Município e fortalecimento das tradições de fim de ano;</w:t>
            </w:r>
          </w:p>
          <w:p w14:paraId="61F265BA"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Incremento do turismo local e estímulo ao comércio durante o período festivo.</w:t>
            </w:r>
          </w:p>
          <w:p w14:paraId="3DDAF1D0"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b/>
                <w:bCs/>
                <w:color w:val="000000"/>
              </w:rPr>
              <w:t>Para a Administração:</w:t>
            </w:r>
          </w:p>
          <w:p w14:paraId="137B94F4"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Execução eficiente das festividades natalinas, com gestão centralizada e simplificada do objeto;</w:t>
            </w:r>
          </w:p>
          <w:p w14:paraId="070E06B2"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Maior economicidade em relação à aquisição definitiva de acervo próprio, eliminando custos permanentes de armazenagem e manutenção;</w:t>
            </w:r>
          </w:p>
          <w:p w14:paraId="40239B07"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lastRenderedPageBreak/>
              <w:t>Renovação estética anual sem custo de aquisição adicional, com possibilidade de atualizar o repertório decorativo a cada edição;</w:t>
            </w:r>
          </w:p>
          <w:p w14:paraId="30FF3682"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Redução de riscos operacionais e de responsabilidade técnica, transferidos à empresa especializada contratada;</w:t>
            </w:r>
          </w:p>
          <w:p w14:paraId="49DAE055"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Melhor aplicação dos recursos humanos da Secretaria requisitante, que se concentra na coordenação e fiscalização do contrato.</w:t>
            </w:r>
          </w:p>
        </w:tc>
      </w:tr>
      <w:tr w:rsidR="00D42EEA" w:rsidRPr="003F6167" w14:paraId="3FD5F051"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761C898D"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lastRenderedPageBreak/>
              <w:t>10. Providências a serem adotadas previamente à celebração do contrato</w:t>
            </w:r>
          </w:p>
        </w:tc>
      </w:tr>
      <w:tr w:rsidR="00D42EEA" w:rsidRPr="003F6167" w14:paraId="21015BCA"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48896AE5"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Previamente à celebração do contrato, a Administração deverá adotar as seguintes providências:</w:t>
            </w:r>
          </w:p>
          <w:p w14:paraId="5AD6A862"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Definição dos locais exatos de instalação de cada item, com indicação das coordenadas, pontos de fixação, disponibilidade de pontos de energia elétrica e demais informações técnicas necessárias à instalação pela contratada.</w:t>
            </w:r>
          </w:p>
          <w:p w14:paraId="7806A598" w14:textId="46382D40"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 xml:space="preserve">Verificação da disponibilidade de pontos de energia elétrica nos locais de instalação e, se necessário, </w:t>
            </w:r>
            <w:r w:rsidR="007165BC" w:rsidRPr="003F6167">
              <w:rPr>
                <w:rFonts w:ascii="Times New Roman" w:hAnsi="Times New Roman" w:cs="Times New Roman"/>
                <w:color w:val="000000"/>
              </w:rPr>
              <w:t>providenci</w:t>
            </w:r>
            <w:r w:rsidR="007165BC">
              <w:rPr>
                <w:rFonts w:ascii="Times New Roman" w:hAnsi="Times New Roman" w:cs="Times New Roman"/>
                <w:color w:val="000000"/>
              </w:rPr>
              <w:t>ar</w:t>
            </w:r>
            <w:r w:rsidRPr="003F6167">
              <w:rPr>
                <w:rFonts w:ascii="Times New Roman" w:hAnsi="Times New Roman" w:cs="Times New Roman"/>
                <w:color w:val="000000"/>
              </w:rPr>
              <w:t xml:space="preserve"> junto </w:t>
            </w:r>
            <w:r w:rsidR="007165BC">
              <w:rPr>
                <w:rFonts w:ascii="Times New Roman" w:hAnsi="Times New Roman" w:cs="Times New Roman"/>
                <w:color w:val="000000"/>
              </w:rPr>
              <w:t>aos órgãos</w:t>
            </w:r>
            <w:r w:rsidRPr="003F6167">
              <w:rPr>
                <w:rFonts w:ascii="Times New Roman" w:hAnsi="Times New Roman" w:cs="Times New Roman"/>
                <w:color w:val="000000"/>
              </w:rPr>
              <w:t xml:space="preserve"> responsáve</w:t>
            </w:r>
            <w:r w:rsidR="007165BC">
              <w:rPr>
                <w:rFonts w:ascii="Times New Roman" w:hAnsi="Times New Roman" w:cs="Times New Roman"/>
                <w:color w:val="000000"/>
              </w:rPr>
              <w:t>is</w:t>
            </w:r>
            <w:r w:rsidRPr="003F6167">
              <w:rPr>
                <w:rFonts w:ascii="Times New Roman" w:hAnsi="Times New Roman" w:cs="Times New Roman"/>
                <w:color w:val="000000"/>
              </w:rPr>
              <w:t xml:space="preserve"> disponibilização de pontos adicionais de energia com suporte às cargas dos equipamentos.</w:t>
            </w:r>
          </w:p>
          <w:p w14:paraId="320BAAEF"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Definição do calendário das festividades natalinas 2026, com indicação da data de início e término da decoração, períodos de montagem e desmontagem e eventuais datas de eventos especiais que demandem atenção específica.</w:t>
            </w:r>
          </w:p>
          <w:p w14:paraId="04A97044"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Confirmação da dotação orçamentária adequada e da disponibilidade financeira para suportar a contratação no exercício de 2026.</w:t>
            </w:r>
          </w:p>
          <w:p w14:paraId="73448138"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Designação formal de gestor e fiscal do contrato, nos termos do art. 117 da Lei nº 14.133/2021 e do Decreto Municipal nº 032/2023, com atribuições claramente definidas para o acompanhamento técnico e administrativo da execução.</w:t>
            </w:r>
          </w:p>
          <w:p w14:paraId="261E3B1B"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Elaboração e aprovação do Termo de Referência e dos demais documentos da fase preparatória da licitação, com definição dos requisitos de habilitação, critério de julgamento, prazo contratual e condições de execução.</w:t>
            </w:r>
          </w:p>
          <w:p w14:paraId="70CE34BA"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Publicação do aviso de licitação no Portal Nacional de Contratações Públicas (PNCP), em observância ao art. 54 da Lei nº 14.133/2021.</w:t>
            </w:r>
          </w:p>
          <w:p w14:paraId="31C9AD12"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Definição, junto à Secretaria de Infraestrutura ou equivalente, das condições de acesso das equipes da contratada aos espaços públicos para montagem e desmontagem, incluindo eventuais interdições de trânsito e medidas de segurança para execução dos serviços em vias públicas.</w:t>
            </w:r>
          </w:p>
        </w:tc>
      </w:tr>
      <w:tr w:rsidR="00D42EEA" w:rsidRPr="003F6167" w14:paraId="2CEFD108"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4C2B1C77" w14:textId="77777777" w:rsidR="00D42EEA" w:rsidRPr="003F6167" w:rsidRDefault="00000000" w:rsidP="00393E08">
            <w:pPr>
              <w:rPr>
                <w:rFonts w:ascii="Times New Roman" w:hAnsi="Times New Roman" w:cs="Times New Roman"/>
              </w:rPr>
            </w:pPr>
            <w:r w:rsidRPr="003F6167">
              <w:rPr>
                <w:rFonts w:ascii="Times New Roman" w:hAnsi="Times New Roman" w:cs="Times New Roman"/>
                <w:b/>
                <w:bCs/>
                <w:color w:val="FFFFFF"/>
              </w:rPr>
              <w:t>11. Contratações correlatas e/ou interdependentes</w:t>
            </w:r>
          </w:p>
        </w:tc>
      </w:tr>
      <w:tr w:rsidR="00D42EEA" w:rsidRPr="003F6167" w14:paraId="285C71D6"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46766AA8"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A presente contratação pode apresentar interdependência com as seguintes ações ou contratos:</w:t>
            </w:r>
          </w:p>
          <w:p w14:paraId="47E697C8"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Instalação e manutenção elétrica: caso a infraestrutura elétrica dos pontos de instalação exija intervenção adicional para suportar a carga dos equipamentos de iluminação natalina, poderá ser necessário acionar contrato vigente de serviços elétricos do Município ou providenciar contratação específica para adequação da rede. A Administração deverá verificar previamente essa necessidade.</w:t>
            </w:r>
          </w:p>
          <w:p w14:paraId="7459AAF2" w14:textId="65DB8FCE"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Segurança e vigilância dos espaços públicos: durante o período de exposição, especialmente nos locais de maior concentração de público (praça municipal), poderá ser necessário o reforço de segurança e vigilância dos espaços, o que poderá demandar articulação com órgãos de segurança pública ou contrato vigente de vigilância patrimonial.</w:t>
            </w:r>
          </w:p>
          <w:p w14:paraId="2EFFF735" w14:textId="77777777" w:rsidR="00D42EEA" w:rsidRPr="003F6167" w:rsidRDefault="00000000" w:rsidP="00393E08">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Eventos e programação cultural: a decoração natalina é o suporte físico das festividades. A realização de eventos culturais (shows, missas, apresentações etc.) no mesmo período poderá demandar articulação com contratos de sonorização, palco, logística e outros serviços de apoio a eventos.</w:t>
            </w:r>
          </w:p>
          <w:p w14:paraId="2F033030" w14:textId="77777777" w:rsidR="00D42EEA" w:rsidRPr="003F6167" w:rsidRDefault="00000000" w:rsidP="00393E08">
            <w:pPr>
              <w:jc w:val="both"/>
              <w:rPr>
                <w:rFonts w:ascii="Times New Roman" w:hAnsi="Times New Roman" w:cs="Times New Roman"/>
              </w:rPr>
            </w:pPr>
            <w:r w:rsidRPr="003F6167">
              <w:rPr>
                <w:rFonts w:ascii="Times New Roman" w:hAnsi="Times New Roman" w:cs="Times New Roman"/>
                <w:color w:val="000000"/>
              </w:rPr>
              <w:t>O cronograma de instalação e desmontagem deverá ser integrado com o calendário de eventos municipais para garantir a sincronia das ações. Caso haja contrato vigente para serviços elétricos no Município, o alinhamento operacional entre a contratada de decoração e a empresa elétrica deverá ser formalizado previamente ao início das instalações.</w:t>
            </w:r>
          </w:p>
        </w:tc>
      </w:tr>
      <w:tr w:rsidR="00BD7009" w:rsidRPr="003F6167" w14:paraId="23B308A4" w14:textId="77777777" w:rsidTr="00BD7009">
        <w:tc>
          <w:tcPr>
            <w:tcW w:w="9486" w:type="dxa"/>
            <w:tcBorders>
              <w:top w:val="single" w:sz="5" w:space="0" w:color="AAAAAA"/>
              <w:left w:val="single" w:sz="5" w:space="0" w:color="AAAAAA"/>
              <w:bottom w:val="single" w:sz="5" w:space="0" w:color="AAAAAA"/>
              <w:right w:val="single" w:sz="5" w:space="0" w:color="AAAAAA"/>
            </w:tcBorders>
            <w:shd w:val="clear" w:color="auto" w:fill="1F3864" w:themeFill="accent1" w:themeFillShade="80"/>
            <w:tcMar>
              <w:top w:w="100" w:type="dxa"/>
              <w:left w:w="160" w:type="dxa"/>
              <w:bottom w:w="100" w:type="dxa"/>
              <w:right w:w="160" w:type="dxa"/>
            </w:tcMar>
          </w:tcPr>
          <w:p w14:paraId="4BAF6B45" w14:textId="5A42A9C4" w:rsidR="00BD7009" w:rsidRPr="003F6167" w:rsidRDefault="00BD7009" w:rsidP="00BD7009">
            <w:pPr>
              <w:jc w:val="both"/>
              <w:rPr>
                <w:rFonts w:ascii="Times New Roman" w:hAnsi="Times New Roman" w:cs="Times New Roman"/>
                <w:color w:val="000000"/>
              </w:rPr>
            </w:pPr>
            <w:r w:rsidRPr="003F6167">
              <w:rPr>
                <w:rFonts w:ascii="Times New Roman" w:hAnsi="Times New Roman" w:cs="Times New Roman"/>
                <w:b/>
                <w:bCs/>
                <w:color w:val="FFFFFF"/>
              </w:rPr>
              <w:t>1</w:t>
            </w:r>
            <w:r>
              <w:rPr>
                <w:rFonts w:ascii="Times New Roman" w:hAnsi="Times New Roman" w:cs="Times New Roman"/>
                <w:b/>
                <w:bCs/>
                <w:color w:val="FFFFFF"/>
              </w:rPr>
              <w:t>2</w:t>
            </w:r>
            <w:r w:rsidRPr="003F6167">
              <w:rPr>
                <w:rFonts w:ascii="Times New Roman" w:hAnsi="Times New Roman" w:cs="Times New Roman"/>
                <w:b/>
                <w:bCs/>
                <w:color w:val="FFFFFF"/>
              </w:rPr>
              <w:t xml:space="preserve">. </w:t>
            </w:r>
            <w:r>
              <w:rPr>
                <w:rFonts w:ascii="Times New Roman" w:hAnsi="Times New Roman" w:cs="Times New Roman"/>
                <w:b/>
                <w:bCs/>
                <w:color w:val="FFFFFF"/>
              </w:rPr>
              <w:t>Mapa de risco</w:t>
            </w:r>
          </w:p>
        </w:tc>
      </w:tr>
      <w:tr w:rsidR="00BD7009" w:rsidRPr="003F6167" w14:paraId="0162ED75"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275C9040" w14:textId="77777777" w:rsidR="00BD7009" w:rsidRDefault="00BA19BB" w:rsidP="00BD7009">
            <w:pPr>
              <w:jc w:val="both"/>
              <w:rPr>
                <w:rFonts w:ascii="Times New Roman" w:hAnsi="Times New Roman" w:cs="Times New Roman"/>
                <w:color w:val="000000"/>
              </w:rPr>
            </w:pPr>
            <w:r w:rsidRPr="00BA19BB">
              <w:rPr>
                <w:rFonts w:ascii="Times New Roman" w:hAnsi="Times New Roman" w:cs="Times New Roman"/>
                <w:color w:val="000000"/>
              </w:rPr>
              <w:lastRenderedPageBreak/>
              <w:t>Em atendimento ao art. 18, §1º, inciso X, da Lei nº 14.133/2021, apresenta-se o Mapa de Riscos da contratação de empresa especializada para locação, instalação, manutenção e desmontagem da decoração natalina do Município de Palmitos/SC.</w:t>
            </w:r>
          </w:p>
          <w:tbl>
            <w:tblPr>
              <w:tblStyle w:val="Tabelacomgrade"/>
              <w:tblW w:w="0" w:type="auto"/>
              <w:tblLook w:val="04A0" w:firstRow="1" w:lastRow="0" w:firstColumn="1" w:lastColumn="0" w:noHBand="0" w:noVBand="1"/>
            </w:tblPr>
            <w:tblGrid>
              <w:gridCol w:w="2320"/>
              <w:gridCol w:w="1549"/>
              <w:gridCol w:w="999"/>
              <w:gridCol w:w="2761"/>
              <w:gridCol w:w="1527"/>
            </w:tblGrid>
            <w:tr w:rsidR="00BA19BB" w:rsidRPr="00BA19BB" w14:paraId="5204D465" w14:textId="77777777" w:rsidTr="00BA19BB">
              <w:tc>
                <w:tcPr>
                  <w:tcW w:w="0" w:type="auto"/>
                  <w:hideMark/>
                </w:tcPr>
                <w:p w14:paraId="489014B9" w14:textId="77777777" w:rsidR="00BA19BB" w:rsidRPr="00BA19BB" w:rsidRDefault="00BA19BB" w:rsidP="00BA19BB">
                  <w:pPr>
                    <w:spacing w:before="100" w:beforeAutospacing="1" w:after="100" w:afterAutospacing="1"/>
                    <w:jc w:val="center"/>
                    <w:rPr>
                      <w:rFonts w:ascii="Times New Roman" w:eastAsia="Times New Roman" w:hAnsi="Times New Roman" w:cs="Times New Roman"/>
                      <w:b/>
                      <w:bCs/>
                    </w:rPr>
                  </w:pPr>
                  <w:r w:rsidRPr="00BA19BB">
                    <w:rPr>
                      <w:rFonts w:ascii="Times New Roman" w:eastAsia="Times New Roman" w:hAnsi="Times New Roman" w:cs="Times New Roman"/>
                      <w:b/>
                      <w:bCs/>
                    </w:rPr>
                    <w:t>Risco Identificado</w:t>
                  </w:r>
                </w:p>
              </w:tc>
              <w:tc>
                <w:tcPr>
                  <w:tcW w:w="0" w:type="auto"/>
                  <w:hideMark/>
                </w:tcPr>
                <w:p w14:paraId="5A77DE8A" w14:textId="77777777" w:rsidR="00BA19BB" w:rsidRPr="00BA19BB" w:rsidRDefault="00BA19BB" w:rsidP="00C1247F">
                  <w:pPr>
                    <w:spacing w:before="100" w:beforeAutospacing="1" w:after="100" w:afterAutospacing="1"/>
                    <w:jc w:val="center"/>
                    <w:rPr>
                      <w:rFonts w:ascii="Times New Roman" w:eastAsia="Times New Roman" w:hAnsi="Times New Roman" w:cs="Times New Roman"/>
                      <w:b/>
                      <w:bCs/>
                    </w:rPr>
                  </w:pPr>
                  <w:r w:rsidRPr="00BA19BB">
                    <w:rPr>
                      <w:rFonts w:ascii="Times New Roman" w:eastAsia="Times New Roman" w:hAnsi="Times New Roman" w:cs="Times New Roman"/>
                      <w:b/>
                      <w:bCs/>
                    </w:rPr>
                    <w:t>Probabilidade</w:t>
                  </w:r>
                </w:p>
              </w:tc>
              <w:tc>
                <w:tcPr>
                  <w:tcW w:w="0" w:type="auto"/>
                  <w:hideMark/>
                </w:tcPr>
                <w:p w14:paraId="43A12C19" w14:textId="77777777" w:rsidR="00BA19BB" w:rsidRPr="00BA19BB" w:rsidRDefault="00BA19BB" w:rsidP="00C1247F">
                  <w:pPr>
                    <w:spacing w:before="100" w:beforeAutospacing="1" w:after="100" w:afterAutospacing="1"/>
                    <w:jc w:val="center"/>
                    <w:rPr>
                      <w:rFonts w:ascii="Times New Roman" w:eastAsia="Times New Roman" w:hAnsi="Times New Roman" w:cs="Times New Roman"/>
                      <w:b/>
                      <w:bCs/>
                    </w:rPr>
                  </w:pPr>
                  <w:r w:rsidRPr="00BA19BB">
                    <w:rPr>
                      <w:rFonts w:ascii="Times New Roman" w:eastAsia="Times New Roman" w:hAnsi="Times New Roman" w:cs="Times New Roman"/>
                      <w:b/>
                      <w:bCs/>
                    </w:rPr>
                    <w:t>Impacto</w:t>
                  </w:r>
                </w:p>
              </w:tc>
              <w:tc>
                <w:tcPr>
                  <w:tcW w:w="0" w:type="auto"/>
                  <w:hideMark/>
                </w:tcPr>
                <w:p w14:paraId="19259E5D" w14:textId="77777777" w:rsidR="00BA19BB" w:rsidRPr="00BA19BB" w:rsidRDefault="00BA19BB" w:rsidP="00BA19BB">
                  <w:pPr>
                    <w:spacing w:before="100" w:beforeAutospacing="1" w:after="100" w:afterAutospacing="1"/>
                    <w:jc w:val="center"/>
                    <w:rPr>
                      <w:rFonts w:ascii="Times New Roman" w:eastAsia="Times New Roman" w:hAnsi="Times New Roman" w:cs="Times New Roman"/>
                      <w:b/>
                      <w:bCs/>
                    </w:rPr>
                  </w:pPr>
                  <w:r w:rsidRPr="00BA19BB">
                    <w:rPr>
                      <w:rFonts w:ascii="Times New Roman" w:eastAsia="Times New Roman" w:hAnsi="Times New Roman" w:cs="Times New Roman"/>
                      <w:b/>
                      <w:bCs/>
                    </w:rPr>
                    <w:t>Medidas Preventivas / Mitigadoras</w:t>
                  </w:r>
                </w:p>
              </w:tc>
              <w:tc>
                <w:tcPr>
                  <w:tcW w:w="0" w:type="auto"/>
                  <w:hideMark/>
                </w:tcPr>
                <w:p w14:paraId="5339231C" w14:textId="77777777" w:rsidR="00BA19BB" w:rsidRPr="00BA19BB" w:rsidRDefault="00BA19BB" w:rsidP="00BA19BB">
                  <w:pPr>
                    <w:spacing w:before="100" w:beforeAutospacing="1" w:after="100" w:afterAutospacing="1"/>
                    <w:jc w:val="center"/>
                    <w:rPr>
                      <w:rFonts w:ascii="Times New Roman" w:eastAsia="Times New Roman" w:hAnsi="Times New Roman" w:cs="Times New Roman"/>
                      <w:b/>
                      <w:bCs/>
                    </w:rPr>
                  </w:pPr>
                  <w:r w:rsidRPr="00BA19BB">
                    <w:rPr>
                      <w:rFonts w:ascii="Times New Roman" w:eastAsia="Times New Roman" w:hAnsi="Times New Roman" w:cs="Times New Roman"/>
                      <w:b/>
                      <w:bCs/>
                    </w:rPr>
                    <w:t>Responsável</w:t>
                  </w:r>
                </w:p>
              </w:tc>
            </w:tr>
            <w:tr w:rsidR="00BA19BB" w:rsidRPr="00BA19BB" w14:paraId="4C19A75F" w14:textId="77777777" w:rsidTr="00BA19BB">
              <w:tc>
                <w:tcPr>
                  <w:tcW w:w="0" w:type="auto"/>
                  <w:hideMark/>
                </w:tcPr>
                <w:p w14:paraId="1E54FDC3"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Atraso na entrega e instalação da decoração natalina</w:t>
                  </w:r>
                </w:p>
              </w:tc>
              <w:tc>
                <w:tcPr>
                  <w:tcW w:w="0" w:type="auto"/>
                  <w:hideMark/>
                </w:tcPr>
                <w:p w14:paraId="3D97D7DD"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Média</w:t>
                  </w:r>
                </w:p>
              </w:tc>
              <w:tc>
                <w:tcPr>
                  <w:tcW w:w="0" w:type="auto"/>
                  <w:hideMark/>
                </w:tcPr>
                <w:p w14:paraId="054111B4"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Alto</w:t>
                  </w:r>
                </w:p>
              </w:tc>
              <w:tc>
                <w:tcPr>
                  <w:tcW w:w="0" w:type="auto"/>
                  <w:hideMark/>
                </w:tcPr>
                <w:p w14:paraId="2C50E6C1"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Exigir cronograma executivo, emissão da Ordem de Serviço com antecedência e aplicação das penalidades contratuais em caso de atraso.</w:t>
                  </w:r>
                </w:p>
              </w:tc>
              <w:tc>
                <w:tcPr>
                  <w:tcW w:w="0" w:type="auto"/>
                  <w:hideMark/>
                </w:tcPr>
                <w:p w14:paraId="36B15514"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Contratada / Fiscal do Contrato</w:t>
                  </w:r>
                </w:p>
              </w:tc>
            </w:tr>
            <w:tr w:rsidR="00BA19BB" w:rsidRPr="00BA19BB" w14:paraId="034F7E46" w14:textId="77777777" w:rsidTr="00BA19BB">
              <w:tc>
                <w:tcPr>
                  <w:tcW w:w="0" w:type="auto"/>
                  <w:hideMark/>
                </w:tcPr>
                <w:p w14:paraId="0F36CFD1"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Falha ou queima da iluminação durante o período de exposição</w:t>
                  </w:r>
                </w:p>
              </w:tc>
              <w:tc>
                <w:tcPr>
                  <w:tcW w:w="0" w:type="auto"/>
                  <w:hideMark/>
                </w:tcPr>
                <w:p w14:paraId="44CF3268"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Média</w:t>
                  </w:r>
                </w:p>
              </w:tc>
              <w:tc>
                <w:tcPr>
                  <w:tcW w:w="0" w:type="auto"/>
                  <w:hideMark/>
                </w:tcPr>
                <w:p w14:paraId="5BCDA36F"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Alto</w:t>
                  </w:r>
                </w:p>
              </w:tc>
              <w:tc>
                <w:tcPr>
                  <w:tcW w:w="0" w:type="auto"/>
                  <w:hideMark/>
                </w:tcPr>
                <w:p w14:paraId="7B03C97D"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Realizar manutenção preventiva e corretiva, com atendimento em até 24 horas e substituição imediata dos componentes defeituosos.</w:t>
                  </w:r>
                </w:p>
              </w:tc>
              <w:tc>
                <w:tcPr>
                  <w:tcW w:w="0" w:type="auto"/>
                  <w:hideMark/>
                </w:tcPr>
                <w:p w14:paraId="5B55BD64"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Contratada</w:t>
                  </w:r>
                </w:p>
              </w:tc>
            </w:tr>
            <w:tr w:rsidR="00BA19BB" w:rsidRPr="00BA19BB" w14:paraId="1ACB8FD8" w14:textId="77777777" w:rsidTr="00BA19BB">
              <w:tc>
                <w:tcPr>
                  <w:tcW w:w="0" w:type="auto"/>
                  <w:hideMark/>
                </w:tcPr>
                <w:p w14:paraId="1BABE7D9"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Instalação elétrica inadequada ou em desacordo com as normas técnicas</w:t>
                  </w:r>
                </w:p>
              </w:tc>
              <w:tc>
                <w:tcPr>
                  <w:tcW w:w="0" w:type="auto"/>
                  <w:hideMark/>
                </w:tcPr>
                <w:p w14:paraId="2CEA2DF4"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Baixa</w:t>
                  </w:r>
                </w:p>
              </w:tc>
              <w:tc>
                <w:tcPr>
                  <w:tcW w:w="0" w:type="auto"/>
                  <w:hideMark/>
                </w:tcPr>
                <w:p w14:paraId="2EF1A403"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Alto</w:t>
                  </w:r>
                </w:p>
              </w:tc>
              <w:tc>
                <w:tcPr>
                  <w:tcW w:w="0" w:type="auto"/>
                  <w:hideMark/>
                </w:tcPr>
                <w:p w14:paraId="072DCDAD"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Exigir ART ou RRT, profissional habilitado, materiais certificados e cumprimento das normas ABNT, NR-10 e NR-35.</w:t>
                  </w:r>
                </w:p>
              </w:tc>
              <w:tc>
                <w:tcPr>
                  <w:tcW w:w="0" w:type="auto"/>
                  <w:hideMark/>
                </w:tcPr>
                <w:p w14:paraId="03381D60"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Contratada</w:t>
                  </w:r>
                </w:p>
              </w:tc>
            </w:tr>
            <w:tr w:rsidR="00BA19BB" w:rsidRPr="00BA19BB" w14:paraId="2A0B9E58" w14:textId="77777777" w:rsidTr="00BA19BB">
              <w:tc>
                <w:tcPr>
                  <w:tcW w:w="0" w:type="auto"/>
                  <w:hideMark/>
                </w:tcPr>
                <w:p w14:paraId="0E5A0C25"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Danos às estruturas por ventos, chuvas ou intempéries</w:t>
                  </w:r>
                </w:p>
              </w:tc>
              <w:tc>
                <w:tcPr>
                  <w:tcW w:w="0" w:type="auto"/>
                  <w:hideMark/>
                </w:tcPr>
                <w:p w14:paraId="2F90942D"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Média</w:t>
                  </w:r>
                </w:p>
              </w:tc>
              <w:tc>
                <w:tcPr>
                  <w:tcW w:w="0" w:type="auto"/>
                  <w:hideMark/>
                </w:tcPr>
                <w:p w14:paraId="589146AE"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Médio</w:t>
                  </w:r>
                </w:p>
              </w:tc>
              <w:tc>
                <w:tcPr>
                  <w:tcW w:w="0" w:type="auto"/>
                  <w:hideMark/>
                </w:tcPr>
                <w:p w14:paraId="5851743A"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Utilizar estruturas metálicas resistentes, sistemas de fixação adequados e realizar inspeções periódicas após eventos climáticos.</w:t>
                  </w:r>
                </w:p>
              </w:tc>
              <w:tc>
                <w:tcPr>
                  <w:tcW w:w="0" w:type="auto"/>
                  <w:hideMark/>
                </w:tcPr>
                <w:p w14:paraId="47E4A7F1"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Contratada</w:t>
                  </w:r>
                </w:p>
              </w:tc>
            </w:tr>
            <w:tr w:rsidR="00BA19BB" w:rsidRPr="00BA19BB" w14:paraId="527A9BAB" w14:textId="77777777" w:rsidTr="00BA19BB">
              <w:tc>
                <w:tcPr>
                  <w:tcW w:w="0" w:type="auto"/>
                  <w:hideMark/>
                </w:tcPr>
                <w:p w14:paraId="1AC66EFC"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Vandalismo, furto ou depredação dos elementos decorativos</w:t>
                  </w:r>
                </w:p>
              </w:tc>
              <w:tc>
                <w:tcPr>
                  <w:tcW w:w="0" w:type="auto"/>
                  <w:hideMark/>
                </w:tcPr>
                <w:p w14:paraId="499C8B4B"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Média</w:t>
                  </w:r>
                </w:p>
              </w:tc>
              <w:tc>
                <w:tcPr>
                  <w:tcW w:w="0" w:type="auto"/>
                  <w:hideMark/>
                </w:tcPr>
                <w:p w14:paraId="15989C9B"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Médio</w:t>
                  </w:r>
                </w:p>
              </w:tc>
              <w:tc>
                <w:tcPr>
                  <w:tcW w:w="0" w:type="auto"/>
                  <w:hideMark/>
                </w:tcPr>
                <w:p w14:paraId="1ABCB06A"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Instalar os itens em locais estratégicos, comunicar imediatamente à fiscalização e providenciar a reposição dos elementos danificados quando necessário.</w:t>
                  </w:r>
                </w:p>
              </w:tc>
              <w:tc>
                <w:tcPr>
                  <w:tcW w:w="0" w:type="auto"/>
                  <w:hideMark/>
                </w:tcPr>
                <w:p w14:paraId="53C89EA2"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Contratada / Município</w:t>
                  </w:r>
                </w:p>
              </w:tc>
            </w:tr>
            <w:tr w:rsidR="00BA19BB" w:rsidRPr="00BA19BB" w14:paraId="6BE12AC7" w14:textId="77777777" w:rsidTr="00BA19BB">
              <w:tc>
                <w:tcPr>
                  <w:tcW w:w="0" w:type="auto"/>
                  <w:hideMark/>
                </w:tcPr>
                <w:p w14:paraId="44B2E1C3"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Interrupção do fornecimento de energia elétrica</w:t>
                  </w:r>
                </w:p>
              </w:tc>
              <w:tc>
                <w:tcPr>
                  <w:tcW w:w="0" w:type="auto"/>
                  <w:hideMark/>
                </w:tcPr>
                <w:p w14:paraId="1D8BCC3C"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Baixa</w:t>
                  </w:r>
                </w:p>
              </w:tc>
              <w:tc>
                <w:tcPr>
                  <w:tcW w:w="0" w:type="auto"/>
                  <w:hideMark/>
                </w:tcPr>
                <w:p w14:paraId="1726DDD6"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Médio</w:t>
                  </w:r>
                </w:p>
              </w:tc>
              <w:tc>
                <w:tcPr>
                  <w:tcW w:w="0" w:type="auto"/>
                  <w:hideMark/>
                </w:tcPr>
                <w:p w14:paraId="49190B85"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Verificar previamente a disponibilidade dos pontos de energia e garantir a compatibilidade da carga elétrica com a infraestrutura existente.</w:t>
                  </w:r>
                </w:p>
              </w:tc>
              <w:tc>
                <w:tcPr>
                  <w:tcW w:w="0" w:type="auto"/>
                  <w:hideMark/>
                </w:tcPr>
                <w:p w14:paraId="60DBD0AB"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Município</w:t>
                  </w:r>
                </w:p>
              </w:tc>
            </w:tr>
            <w:tr w:rsidR="00BA19BB" w:rsidRPr="00BA19BB" w14:paraId="5733A4EC" w14:textId="77777777" w:rsidTr="00BA19BB">
              <w:tc>
                <w:tcPr>
                  <w:tcW w:w="0" w:type="auto"/>
                  <w:hideMark/>
                </w:tcPr>
                <w:p w14:paraId="3832FB65"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Acidentes com pedestres ou trabalhadores durante a montagem e desmontagem</w:t>
                  </w:r>
                </w:p>
              </w:tc>
              <w:tc>
                <w:tcPr>
                  <w:tcW w:w="0" w:type="auto"/>
                  <w:hideMark/>
                </w:tcPr>
                <w:p w14:paraId="16E32923"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Baixa</w:t>
                  </w:r>
                </w:p>
              </w:tc>
              <w:tc>
                <w:tcPr>
                  <w:tcW w:w="0" w:type="auto"/>
                  <w:hideMark/>
                </w:tcPr>
                <w:p w14:paraId="23ADD638"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Alto</w:t>
                  </w:r>
                </w:p>
              </w:tc>
              <w:tc>
                <w:tcPr>
                  <w:tcW w:w="0" w:type="auto"/>
                  <w:hideMark/>
                </w:tcPr>
                <w:p w14:paraId="5EFFE627"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Isolar e sinalizar as áreas de trabalho, utilizar EPIs e EPCs e executar os serviços conforme as normas de segurança do trabalho.</w:t>
                  </w:r>
                </w:p>
              </w:tc>
              <w:tc>
                <w:tcPr>
                  <w:tcW w:w="0" w:type="auto"/>
                  <w:hideMark/>
                </w:tcPr>
                <w:p w14:paraId="1A2D4EC5"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Contratada</w:t>
                  </w:r>
                </w:p>
              </w:tc>
            </w:tr>
            <w:tr w:rsidR="00BA19BB" w:rsidRPr="00BA19BB" w14:paraId="0FC36DA1" w14:textId="77777777" w:rsidTr="00BA19BB">
              <w:tc>
                <w:tcPr>
                  <w:tcW w:w="0" w:type="auto"/>
                  <w:hideMark/>
                </w:tcPr>
                <w:p w14:paraId="734AC4E7"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Incompatibilidade entre as dimensões das estruturas e os locais de instalação</w:t>
                  </w:r>
                </w:p>
              </w:tc>
              <w:tc>
                <w:tcPr>
                  <w:tcW w:w="0" w:type="auto"/>
                  <w:hideMark/>
                </w:tcPr>
                <w:p w14:paraId="1670C396"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Baixa</w:t>
                  </w:r>
                </w:p>
              </w:tc>
              <w:tc>
                <w:tcPr>
                  <w:tcW w:w="0" w:type="auto"/>
                  <w:hideMark/>
                </w:tcPr>
                <w:p w14:paraId="7F0C1A18" w14:textId="77777777" w:rsidR="00BA19BB" w:rsidRPr="00BA19BB" w:rsidRDefault="00BA19BB" w:rsidP="00C1247F">
                  <w:pPr>
                    <w:spacing w:before="100" w:beforeAutospacing="1" w:after="100" w:afterAutospacing="1"/>
                    <w:jc w:val="center"/>
                    <w:rPr>
                      <w:rFonts w:ascii="Times New Roman" w:eastAsia="Times New Roman" w:hAnsi="Times New Roman" w:cs="Times New Roman"/>
                    </w:rPr>
                  </w:pPr>
                  <w:r w:rsidRPr="00BA19BB">
                    <w:rPr>
                      <w:rFonts w:ascii="Times New Roman" w:eastAsia="Times New Roman" w:hAnsi="Times New Roman" w:cs="Times New Roman"/>
                    </w:rPr>
                    <w:t>Médio</w:t>
                  </w:r>
                </w:p>
              </w:tc>
              <w:tc>
                <w:tcPr>
                  <w:tcW w:w="0" w:type="auto"/>
                  <w:hideMark/>
                </w:tcPr>
                <w:p w14:paraId="0E520B4D"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Realizar vistoria técnica prévia e validar, juntamente com a fiscalização, todos os pontos de instalação antes da montagem.</w:t>
                  </w:r>
                </w:p>
              </w:tc>
              <w:tc>
                <w:tcPr>
                  <w:tcW w:w="0" w:type="auto"/>
                  <w:hideMark/>
                </w:tcPr>
                <w:p w14:paraId="7C8830C2" w14:textId="77777777" w:rsidR="00BA19BB" w:rsidRPr="00BA19BB" w:rsidRDefault="00BA19BB" w:rsidP="00C1247F">
                  <w:pPr>
                    <w:spacing w:before="100" w:beforeAutospacing="1" w:after="100" w:afterAutospacing="1"/>
                    <w:jc w:val="both"/>
                    <w:rPr>
                      <w:rFonts w:ascii="Times New Roman" w:eastAsia="Times New Roman" w:hAnsi="Times New Roman" w:cs="Times New Roman"/>
                    </w:rPr>
                  </w:pPr>
                  <w:r w:rsidRPr="00BA19BB">
                    <w:rPr>
                      <w:rFonts w:ascii="Times New Roman" w:eastAsia="Times New Roman" w:hAnsi="Times New Roman" w:cs="Times New Roman"/>
                    </w:rPr>
                    <w:t>Contratada / Fiscal do Contrato</w:t>
                  </w:r>
                </w:p>
              </w:tc>
            </w:tr>
          </w:tbl>
          <w:p w14:paraId="6F37350F" w14:textId="77777777" w:rsidR="00BA19BB" w:rsidRDefault="00BA19BB" w:rsidP="00BA19BB">
            <w:pPr>
              <w:jc w:val="both"/>
              <w:rPr>
                <w:rFonts w:ascii="Times New Roman" w:hAnsi="Times New Roman" w:cs="Times New Roman"/>
                <w:b/>
                <w:bCs/>
                <w:color w:val="000000"/>
              </w:rPr>
            </w:pPr>
          </w:p>
          <w:p w14:paraId="3394AB1C" w14:textId="4F0E35EA" w:rsidR="00BA19BB" w:rsidRPr="00BA19BB" w:rsidRDefault="00BA19BB" w:rsidP="00BA19BB">
            <w:pPr>
              <w:jc w:val="both"/>
              <w:rPr>
                <w:rFonts w:ascii="Times New Roman" w:hAnsi="Times New Roman" w:cs="Times New Roman"/>
                <w:b/>
                <w:bCs/>
                <w:color w:val="000000"/>
              </w:rPr>
            </w:pPr>
            <w:r w:rsidRPr="00BA19BB">
              <w:rPr>
                <w:rFonts w:ascii="Times New Roman" w:hAnsi="Times New Roman" w:cs="Times New Roman"/>
                <w:b/>
                <w:bCs/>
                <w:color w:val="000000"/>
              </w:rPr>
              <w:t>Tratamento dos riscos prioritários</w:t>
            </w:r>
          </w:p>
          <w:p w14:paraId="69750ED6" w14:textId="77777777" w:rsidR="00BA19BB" w:rsidRPr="00BA19BB" w:rsidRDefault="00BA19BB" w:rsidP="00BA19BB">
            <w:pPr>
              <w:jc w:val="both"/>
              <w:rPr>
                <w:rFonts w:ascii="Times New Roman" w:hAnsi="Times New Roman" w:cs="Times New Roman"/>
                <w:color w:val="000000"/>
              </w:rPr>
            </w:pPr>
            <w:r w:rsidRPr="00BA19BB">
              <w:rPr>
                <w:rFonts w:ascii="Times New Roman" w:hAnsi="Times New Roman" w:cs="Times New Roman"/>
                <w:color w:val="000000"/>
              </w:rPr>
              <w:t>Os riscos classificados como Alto Impacto deverão receber acompanhamento contínuo pela fiscalização contratual, com adoção das seguintes medidas:</w:t>
            </w:r>
          </w:p>
          <w:p w14:paraId="4AC71463" w14:textId="77777777" w:rsidR="00BA19BB" w:rsidRPr="00BA19BB" w:rsidRDefault="00BA19BB" w:rsidP="00BA19BB">
            <w:pPr>
              <w:numPr>
                <w:ilvl w:val="0"/>
                <w:numId w:val="3"/>
              </w:numPr>
              <w:jc w:val="both"/>
              <w:rPr>
                <w:rFonts w:ascii="Times New Roman" w:hAnsi="Times New Roman" w:cs="Times New Roman"/>
                <w:color w:val="000000"/>
              </w:rPr>
            </w:pPr>
            <w:r w:rsidRPr="00BA19BB">
              <w:rPr>
                <w:rFonts w:ascii="Times New Roman" w:hAnsi="Times New Roman" w:cs="Times New Roman"/>
                <w:color w:val="000000"/>
              </w:rPr>
              <w:t>R1 – Atraso na instalação: acompanhamento do cronograma semanal e aplicação das sanções previstas em contrato, quando cabíveis.</w:t>
            </w:r>
          </w:p>
          <w:p w14:paraId="52660257" w14:textId="77777777" w:rsidR="00BA19BB" w:rsidRPr="00BA19BB" w:rsidRDefault="00BA19BB" w:rsidP="00BA19BB">
            <w:pPr>
              <w:numPr>
                <w:ilvl w:val="0"/>
                <w:numId w:val="3"/>
              </w:numPr>
              <w:jc w:val="both"/>
              <w:rPr>
                <w:rFonts w:ascii="Times New Roman" w:hAnsi="Times New Roman" w:cs="Times New Roman"/>
                <w:color w:val="000000"/>
              </w:rPr>
            </w:pPr>
            <w:r w:rsidRPr="00BA19BB">
              <w:rPr>
                <w:rFonts w:ascii="Times New Roman" w:hAnsi="Times New Roman" w:cs="Times New Roman"/>
                <w:color w:val="000000"/>
              </w:rPr>
              <w:t>R2 – Falha de iluminação: manutenção em regime de plantão e substituição imediata de equipamentos defeituosos.</w:t>
            </w:r>
          </w:p>
          <w:p w14:paraId="2E749E6C" w14:textId="77777777" w:rsidR="00BA19BB" w:rsidRPr="00BA19BB" w:rsidRDefault="00BA19BB" w:rsidP="00BA19BB">
            <w:pPr>
              <w:numPr>
                <w:ilvl w:val="0"/>
                <w:numId w:val="3"/>
              </w:numPr>
              <w:jc w:val="both"/>
              <w:rPr>
                <w:rFonts w:ascii="Times New Roman" w:hAnsi="Times New Roman" w:cs="Times New Roman"/>
                <w:color w:val="000000"/>
              </w:rPr>
            </w:pPr>
            <w:r w:rsidRPr="00BA19BB">
              <w:rPr>
                <w:rFonts w:ascii="Times New Roman" w:hAnsi="Times New Roman" w:cs="Times New Roman"/>
                <w:color w:val="000000"/>
              </w:rPr>
              <w:lastRenderedPageBreak/>
              <w:t>R3 – Instalação elétrica inadequada: início dos serviços condicionado à apresentação da ART/RRT e à conferência técnica pela fiscalização.</w:t>
            </w:r>
          </w:p>
          <w:p w14:paraId="4AEE4E68" w14:textId="77777777" w:rsidR="00BA19BB" w:rsidRPr="00BA19BB" w:rsidRDefault="00BA19BB" w:rsidP="00BA19BB">
            <w:pPr>
              <w:numPr>
                <w:ilvl w:val="0"/>
                <w:numId w:val="3"/>
              </w:numPr>
              <w:jc w:val="both"/>
              <w:rPr>
                <w:rFonts w:ascii="Times New Roman" w:hAnsi="Times New Roman" w:cs="Times New Roman"/>
                <w:color w:val="000000"/>
              </w:rPr>
            </w:pPr>
            <w:r w:rsidRPr="00BA19BB">
              <w:rPr>
                <w:rFonts w:ascii="Times New Roman" w:hAnsi="Times New Roman" w:cs="Times New Roman"/>
                <w:color w:val="000000"/>
              </w:rPr>
              <w:t>R7 – Acidentes durante a montagem: isolamento das áreas de trabalho, sinalização, utilização obrigatória de EPIs e cumprimento das NR-10 e NR-35.</w:t>
            </w:r>
          </w:p>
          <w:p w14:paraId="5376DC38" w14:textId="77777777" w:rsidR="00BA19BB" w:rsidRPr="00BA19BB" w:rsidRDefault="00BA19BB" w:rsidP="00BA19BB">
            <w:pPr>
              <w:jc w:val="both"/>
              <w:rPr>
                <w:rFonts w:ascii="Times New Roman" w:hAnsi="Times New Roman" w:cs="Times New Roman"/>
                <w:b/>
                <w:bCs/>
                <w:color w:val="000000"/>
              </w:rPr>
            </w:pPr>
            <w:r w:rsidRPr="00BA19BB">
              <w:rPr>
                <w:rFonts w:ascii="Times New Roman" w:hAnsi="Times New Roman" w:cs="Times New Roman"/>
                <w:b/>
                <w:bCs/>
                <w:color w:val="000000"/>
              </w:rPr>
              <w:t>Monitoramento</w:t>
            </w:r>
          </w:p>
          <w:p w14:paraId="6B9D0202" w14:textId="1DF7F7A7" w:rsidR="00BA19BB" w:rsidRPr="003F6167" w:rsidRDefault="00BA19BB" w:rsidP="00BA19BB">
            <w:pPr>
              <w:jc w:val="both"/>
              <w:rPr>
                <w:rFonts w:ascii="Times New Roman" w:hAnsi="Times New Roman" w:cs="Times New Roman"/>
                <w:color w:val="000000"/>
              </w:rPr>
            </w:pPr>
            <w:r w:rsidRPr="00BA19BB">
              <w:rPr>
                <w:rFonts w:ascii="Times New Roman" w:hAnsi="Times New Roman" w:cs="Times New Roman"/>
                <w:color w:val="000000"/>
              </w:rPr>
              <w:t>O gestor e o fiscal do contrato deverão registrar ocorrências em relatório próprio durante toda a execução, avaliando periodicamente os riscos identificados e adotando medidas corretivas sempre que necessário, garantindo a segurança, a continuidade e a qualidade da decoração natalina.</w:t>
            </w:r>
          </w:p>
        </w:tc>
      </w:tr>
      <w:tr w:rsidR="00BD7009" w:rsidRPr="003F6167" w14:paraId="63C5A465"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7D87F4C2" w14:textId="6B752C77" w:rsidR="00BD7009" w:rsidRPr="003F6167" w:rsidRDefault="00BD7009" w:rsidP="00BD7009">
            <w:pPr>
              <w:rPr>
                <w:rFonts w:ascii="Times New Roman" w:hAnsi="Times New Roman" w:cs="Times New Roman"/>
              </w:rPr>
            </w:pPr>
            <w:r w:rsidRPr="003F6167">
              <w:rPr>
                <w:rFonts w:ascii="Times New Roman" w:hAnsi="Times New Roman" w:cs="Times New Roman"/>
                <w:b/>
                <w:bCs/>
                <w:color w:val="FFFFFF"/>
              </w:rPr>
              <w:lastRenderedPageBreak/>
              <w:t>1</w:t>
            </w:r>
            <w:r>
              <w:rPr>
                <w:rFonts w:ascii="Times New Roman" w:hAnsi="Times New Roman" w:cs="Times New Roman"/>
                <w:b/>
                <w:bCs/>
                <w:color w:val="FFFFFF"/>
              </w:rPr>
              <w:t>3</w:t>
            </w:r>
            <w:r w:rsidRPr="003F6167">
              <w:rPr>
                <w:rFonts w:ascii="Times New Roman" w:hAnsi="Times New Roman" w:cs="Times New Roman"/>
                <w:b/>
                <w:bCs/>
                <w:color w:val="FFFFFF"/>
              </w:rPr>
              <w:t>. Impactos ambientais e medidas mitigadoras</w:t>
            </w:r>
          </w:p>
        </w:tc>
      </w:tr>
      <w:tr w:rsidR="00BD7009" w:rsidRPr="003F6167" w14:paraId="43A7C7BF"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3AA7640A" w14:textId="77777777" w:rsidR="00BD7009" w:rsidRPr="003F6167" w:rsidRDefault="00BD7009" w:rsidP="00BD7009">
            <w:pPr>
              <w:jc w:val="both"/>
              <w:rPr>
                <w:rFonts w:ascii="Times New Roman" w:hAnsi="Times New Roman" w:cs="Times New Roman"/>
              </w:rPr>
            </w:pPr>
            <w:r w:rsidRPr="003F6167">
              <w:rPr>
                <w:rFonts w:ascii="Times New Roman" w:hAnsi="Times New Roman" w:cs="Times New Roman"/>
                <w:color w:val="000000"/>
              </w:rPr>
              <w:t>A contratação de locação, instalação, manutenção e desmontagem de decoração natalina possui impacto ambiental limitado, concentrado principalmente nos seguintes aspectos:</w:t>
            </w:r>
          </w:p>
          <w:p w14:paraId="42B5B56A" w14:textId="77777777" w:rsidR="00BD7009" w:rsidRPr="003F6167" w:rsidRDefault="00BD7009" w:rsidP="00BD7009">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Consumo de energia elétrica durante a utilização dos elementos de iluminação LED ao longo do período de exposição;</w:t>
            </w:r>
          </w:p>
          <w:p w14:paraId="4FFD7EEB" w14:textId="77777777" w:rsidR="00BD7009" w:rsidRPr="003F6167" w:rsidRDefault="00BD7009" w:rsidP="00BD7009">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Emissão de gases poluentes decorrente do transporte dos materiais entre o local de armazenagem da contratada e os pontos de instalação no Município;</w:t>
            </w:r>
          </w:p>
          <w:p w14:paraId="4AFAEE4A" w14:textId="77777777" w:rsidR="00BD7009" w:rsidRPr="003F6167" w:rsidRDefault="00BD7009" w:rsidP="00BD7009">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Eventual geração de resíduos durante a montagem e desmontagem (embalagens, fixadores, fios danificados etc.).</w:t>
            </w:r>
          </w:p>
          <w:p w14:paraId="31ABCA99" w14:textId="77777777" w:rsidR="00BD7009" w:rsidRPr="003F6167" w:rsidRDefault="00BD7009" w:rsidP="00BD7009">
            <w:pPr>
              <w:jc w:val="both"/>
              <w:rPr>
                <w:rFonts w:ascii="Times New Roman" w:hAnsi="Times New Roman" w:cs="Times New Roman"/>
              </w:rPr>
            </w:pPr>
            <w:r w:rsidRPr="003F6167">
              <w:rPr>
                <w:rFonts w:ascii="Times New Roman" w:hAnsi="Times New Roman" w:cs="Times New Roman"/>
                <w:b/>
                <w:bCs/>
                <w:color w:val="000000"/>
              </w:rPr>
              <w:t>Medidas mitigadoras:</w:t>
            </w:r>
          </w:p>
          <w:p w14:paraId="26881E1C" w14:textId="77777777" w:rsidR="00BD7009" w:rsidRPr="003F6167" w:rsidRDefault="00BD7009" w:rsidP="00BD7009">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Eficiência energética: exigência de que todos os elementos de iluminação sejam compostos por lâmpadas LED de baixo consumo, conforme especificações técnicas dos itens, reduzindo significativamente o consumo energético em relação às tecnologias convencionais;</w:t>
            </w:r>
          </w:p>
          <w:p w14:paraId="4EF7D96F" w14:textId="77777777" w:rsidR="00BD7009" w:rsidRPr="003F6167" w:rsidRDefault="00BD7009" w:rsidP="00BD7009">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Reutilização dos materiais: a modalidade de locação, por natureza, propicia a reutilização dos materiais pela contratada em outros eventos e anos subsequentes, evitando o descarte de peças decorativas após uso sazonal;</w:t>
            </w:r>
          </w:p>
          <w:p w14:paraId="155D592F" w14:textId="77777777" w:rsidR="00BD7009" w:rsidRPr="003F6167" w:rsidRDefault="00BD7009" w:rsidP="00BD7009">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Logística reversa: a contratada será integralmente responsável pela retirada e transporte de todos os materiais ao final do período de exposição, evitando descarte irregular nos espaços públicos;</w:t>
            </w:r>
          </w:p>
          <w:p w14:paraId="39331C18" w14:textId="77777777" w:rsidR="00BD7009" w:rsidRPr="003F6167" w:rsidRDefault="00BD7009" w:rsidP="00BD7009">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Transporte otimizado: recomenda-se que a contratada realize a entrega e retirada dos materiais em menor número de viagens possível, por meio de planejamento logístico eficiente, reduzindo a emissão de gases poluentes;</w:t>
            </w:r>
          </w:p>
          <w:p w14:paraId="78C98B26" w14:textId="77777777" w:rsidR="00BD7009" w:rsidRPr="003F6167" w:rsidRDefault="00BD7009" w:rsidP="00BD7009">
            <w:pPr>
              <w:pStyle w:val="PargrafodaLista"/>
              <w:numPr>
                <w:ilvl w:val="0"/>
                <w:numId w:val="2"/>
              </w:numPr>
              <w:jc w:val="both"/>
              <w:rPr>
                <w:rFonts w:ascii="Times New Roman" w:hAnsi="Times New Roman" w:cs="Times New Roman"/>
              </w:rPr>
            </w:pPr>
            <w:r w:rsidRPr="003F6167">
              <w:rPr>
                <w:rFonts w:ascii="Times New Roman" w:hAnsi="Times New Roman" w:cs="Times New Roman"/>
                <w:color w:val="000000"/>
              </w:rPr>
              <w:t>Destinação de resíduos: os resíduos gerados durante a instalação e desmontagem deverão ser acondicionados e destinados adequadamente pela contratada, em conformidade com a Lei nº 12.305/2010 (Política Nacional de Resíduos Sólidos).</w:t>
            </w:r>
          </w:p>
          <w:p w14:paraId="0CA57C8C" w14:textId="77777777" w:rsidR="00BD7009" w:rsidRPr="003F6167" w:rsidRDefault="00BD7009" w:rsidP="00BD7009">
            <w:pPr>
              <w:jc w:val="both"/>
              <w:rPr>
                <w:rFonts w:ascii="Times New Roman" w:hAnsi="Times New Roman" w:cs="Times New Roman"/>
              </w:rPr>
            </w:pPr>
            <w:r w:rsidRPr="003F6167">
              <w:rPr>
                <w:rFonts w:ascii="Times New Roman" w:hAnsi="Times New Roman" w:cs="Times New Roman"/>
                <w:color w:val="000000"/>
              </w:rPr>
              <w:t>Diante das características do objeto, conclui-se que os impactos ambientais são reduzidos e mitigáveis, não havendo necessidade de licenciamento ambiental específico para a contratação.</w:t>
            </w:r>
          </w:p>
        </w:tc>
      </w:tr>
      <w:tr w:rsidR="00BD7009" w:rsidRPr="003F6167" w14:paraId="187D62D4" w14:textId="77777777" w:rsidTr="003F6167">
        <w:tc>
          <w:tcPr>
            <w:tcW w:w="9486" w:type="dxa"/>
            <w:tcBorders>
              <w:top w:val="single" w:sz="8" w:space="0" w:color="1F4E79"/>
              <w:left w:val="single" w:sz="8" w:space="0" w:color="1F4E79"/>
              <w:bottom w:val="single" w:sz="8" w:space="0" w:color="1F4E79"/>
              <w:right w:val="single" w:sz="8" w:space="0" w:color="1F4E79"/>
            </w:tcBorders>
            <w:shd w:val="clear" w:color="auto" w:fill="1F4E79"/>
            <w:tcMar>
              <w:top w:w="80" w:type="dxa"/>
              <w:left w:w="160" w:type="dxa"/>
              <w:bottom w:w="80" w:type="dxa"/>
              <w:right w:w="160" w:type="dxa"/>
            </w:tcMar>
          </w:tcPr>
          <w:p w14:paraId="16A6CFC4" w14:textId="3BB294EF" w:rsidR="00BD7009" w:rsidRPr="003F6167" w:rsidRDefault="00BD7009" w:rsidP="00BD7009">
            <w:pPr>
              <w:rPr>
                <w:rFonts w:ascii="Times New Roman" w:hAnsi="Times New Roman" w:cs="Times New Roman"/>
              </w:rPr>
            </w:pPr>
            <w:r w:rsidRPr="003F6167">
              <w:rPr>
                <w:rFonts w:ascii="Times New Roman" w:hAnsi="Times New Roman" w:cs="Times New Roman"/>
                <w:b/>
                <w:bCs/>
                <w:color w:val="FFFFFF"/>
              </w:rPr>
              <w:t>1</w:t>
            </w:r>
            <w:r>
              <w:rPr>
                <w:rFonts w:ascii="Times New Roman" w:hAnsi="Times New Roman" w:cs="Times New Roman"/>
                <w:b/>
                <w:bCs/>
                <w:color w:val="FFFFFF"/>
              </w:rPr>
              <w:t>4</w:t>
            </w:r>
            <w:r w:rsidRPr="003F6167">
              <w:rPr>
                <w:rFonts w:ascii="Times New Roman" w:hAnsi="Times New Roman" w:cs="Times New Roman"/>
                <w:b/>
                <w:bCs/>
                <w:color w:val="FFFFFF"/>
              </w:rPr>
              <w:t>. Posicionamento conclusivo sobre a adequação da contratação</w:t>
            </w:r>
          </w:p>
        </w:tc>
      </w:tr>
      <w:tr w:rsidR="00BD7009" w:rsidRPr="003F6167" w14:paraId="309EA30A" w14:textId="77777777" w:rsidTr="003F6167">
        <w:tc>
          <w:tcPr>
            <w:tcW w:w="9486" w:type="dxa"/>
            <w:tcBorders>
              <w:top w:val="single" w:sz="5" w:space="0" w:color="AAAAAA"/>
              <w:left w:val="single" w:sz="5" w:space="0" w:color="AAAAAA"/>
              <w:bottom w:val="single" w:sz="5" w:space="0" w:color="AAAAAA"/>
              <w:right w:val="single" w:sz="5" w:space="0" w:color="AAAAAA"/>
            </w:tcBorders>
            <w:tcMar>
              <w:top w:w="100" w:type="dxa"/>
              <w:left w:w="160" w:type="dxa"/>
              <w:bottom w:w="100" w:type="dxa"/>
              <w:right w:w="160" w:type="dxa"/>
            </w:tcMar>
          </w:tcPr>
          <w:p w14:paraId="00729FF7" w14:textId="77777777" w:rsidR="00BD7009" w:rsidRPr="003F6167" w:rsidRDefault="00BD7009" w:rsidP="00BD7009">
            <w:pPr>
              <w:jc w:val="both"/>
              <w:rPr>
                <w:rFonts w:ascii="Times New Roman" w:hAnsi="Times New Roman" w:cs="Times New Roman"/>
              </w:rPr>
            </w:pPr>
            <w:r w:rsidRPr="003F6167">
              <w:rPr>
                <w:rFonts w:ascii="Times New Roman" w:hAnsi="Times New Roman" w:cs="Times New Roman"/>
                <w:color w:val="000000"/>
              </w:rPr>
              <w:t>À vista dos elementos constantes deste Estudo Técnico Preliminar, conclui-se que a contratação de empresa especializada para locação, instalação, manutenção e desmontagem de decoração natalina nas praças, avenidas e espaços públicos do Município de Palmitos/SC para o período das festividades natalinas de 2026 mostra-se ADEQUADA, NECESSÁRIA e VIÁVEL para o atendimento da necessidade administrativa identificada.</w:t>
            </w:r>
          </w:p>
          <w:p w14:paraId="486F66E0" w14:textId="77777777" w:rsidR="00BD7009" w:rsidRPr="003F6167" w:rsidRDefault="00BD7009" w:rsidP="00BD7009">
            <w:pPr>
              <w:jc w:val="both"/>
              <w:rPr>
                <w:rFonts w:ascii="Times New Roman" w:hAnsi="Times New Roman" w:cs="Times New Roman"/>
              </w:rPr>
            </w:pPr>
            <w:r w:rsidRPr="003F6167">
              <w:rPr>
                <w:rFonts w:ascii="Times New Roman" w:hAnsi="Times New Roman" w:cs="Times New Roman"/>
                <w:color w:val="000000"/>
              </w:rPr>
              <w:t>A solução escolhida — locação de solução integrada em lote único — revela-se a alternativa mais adequada técnica e economicamente disponível no mercado, por concentrar em um único contratado a responsabilidade pela qualidade estética, segurança técnica, logística, manutenção e desmontagem; eliminar custos permanentes de armazenagem e conservação de acervo próprio; adequar-se ao caráter sazonal do objeto; e assegurar renovação estética anual.</w:t>
            </w:r>
          </w:p>
          <w:p w14:paraId="74CA764A" w14:textId="77777777" w:rsidR="00BD7009" w:rsidRPr="003F6167" w:rsidRDefault="00BD7009" w:rsidP="00BD7009">
            <w:pPr>
              <w:jc w:val="both"/>
              <w:rPr>
                <w:rFonts w:ascii="Times New Roman" w:hAnsi="Times New Roman" w:cs="Times New Roman"/>
              </w:rPr>
            </w:pPr>
            <w:r w:rsidRPr="003F6167">
              <w:rPr>
                <w:rFonts w:ascii="Times New Roman" w:hAnsi="Times New Roman" w:cs="Times New Roman"/>
                <w:color w:val="000000"/>
              </w:rPr>
              <w:t>Sob o aspecto econômico, a estimativa de R$ 346.720,00 é compatível com o mercado regional, conforme pesquisa de preços realizada com fornecedor especializado e análise de contratações similares em outros municípios catarinenses. O valor é proporcional à extensão do objeto — 21 itens, incluindo peças de grande porte e o serviço completo de instalação, manutenção e desmontagem.</w:t>
            </w:r>
          </w:p>
          <w:p w14:paraId="1628F52A" w14:textId="77777777" w:rsidR="00BD7009" w:rsidRPr="003F6167" w:rsidRDefault="00BD7009" w:rsidP="00BD7009">
            <w:pPr>
              <w:jc w:val="both"/>
              <w:rPr>
                <w:rFonts w:ascii="Times New Roman" w:hAnsi="Times New Roman" w:cs="Times New Roman"/>
              </w:rPr>
            </w:pPr>
            <w:r w:rsidRPr="003F6167">
              <w:rPr>
                <w:rFonts w:ascii="Times New Roman" w:hAnsi="Times New Roman" w:cs="Times New Roman"/>
                <w:color w:val="000000"/>
              </w:rPr>
              <w:t>Ressalva-se que, previamente à publicação do edital, a Administração deverá: completar a pesquisa de preços com ao menos uma cotação adicional; confirmar a dotação orçamentária; designar formalmente gestor e fiscal do contrato; e definir os locais e o calendário de instalação. O prosseguimento fica condicionado ao saneamento dessas pendências.</w:t>
            </w:r>
          </w:p>
          <w:p w14:paraId="3C51FE89" w14:textId="77777777" w:rsidR="00BD7009" w:rsidRPr="003F6167" w:rsidRDefault="00BD7009" w:rsidP="00BD7009">
            <w:pPr>
              <w:jc w:val="both"/>
              <w:rPr>
                <w:rFonts w:ascii="Times New Roman" w:hAnsi="Times New Roman" w:cs="Times New Roman"/>
              </w:rPr>
            </w:pPr>
            <w:r w:rsidRPr="003F6167">
              <w:rPr>
                <w:rFonts w:ascii="Times New Roman" w:hAnsi="Times New Roman" w:cs="Times New Roman"/>
                <w:color w:val="000000"/>
              </w:rPr>
              <w:lastRenderedPageBreak/>
              <w:t>Diante do exposto, este Estudo Técnico Preliminar manifesta-se FAVORAVELMENTE à contratação, recomendando o prosseguimento com a elaboração do Termo de Referência e a deflagração do procedimento licitatório, na modalidade e forma adequadas ao valor estimado, nos termos da Lei nº 14.133/2021.</w:t>
            </w:r>
          </w:p>
        </w:tc>
      </w:tr>
    </w:tbl>
    <w:p w14:paraId="1E1985F5" w14:textId="77777777" w:rsidR="001239C0" w:rsidRDefault="001239C0" w:rsidP="00393E08">
      <w:pPr>
        <w:jc w:val="right"/>
        <w:rPr>
          <w:rFonts w:ascii="Times New Roman" w:hAnsi="Times New Roman" w:cs="Times New Roman"/>
          <w:color w:val="000000"/>
        </w:rPr>
      </w:pPr>
    </w:p>
    <w:p w14:paraId="546BCB7C" w14:textId="13A01CA4" w:rsidR="00D42EEA" w:rsidRPr="003F6167" w:rsidRDefault="00000000" w:rsidP="00393E08">
      <w:pPr>
        <w:jc w:val="right"/>
        <w:rPr>
          <w:rFonts w:ascii="Times New Roman" w:hAnsi="Times New Roman" w:cs="Times New Roman"/>
        </w:rPr>
      </w:pPr>
      <w:r w:rsidRPr="003F6167">
        <w:rPr>
          <w:rFonts w:ascii="Times New Roman" w:hAnsi="Times New Roman" w:cs="Times New Roman"/>
          <w:color w:val="000000"/>
        </w:rPr>
        <w:t xml:space="preserve">Palmitos/SC, </w:t>
      </w:r>
      <w:r w:rsidR="00E10920">
        <w:rPr>
          <w:rFonts w:ascii="Times New Roman" w:hAnsi="Times New Roman" w:cs="Times New Roman"/>
          <w:color w:val="000000"/>
        </w:rPr>
        <w:t>8 de setembro</w:t>
      </w:r>
      <w:r w:rsidRPr="003F6167">
        <w:rPr>
          <w:rFonts w:ascii="Times New Roman" w:hAnsi="Times New Roman" w:cs="Times New Roman"/>
          <w:color w:val="000000"/>
        </w:rPr>
        <w:t xml:space="preserve"> de 2026.</w:t>
      </w:r>
    </w:p>
    <w:p w14:paraId="466A2A5D" w14:textId="77777777" w:rsidR="00D42EEA" w:rsidRDefault="00D42EEA" w:rsidP="00393E08">
      <w:pPr>
        <w:rPr>
          <w:rFonts w:ascii="Times New Roman" w:hAnsi="Times New Roman" w:cs="Times New Roman"/>
        </w:rPr>
      </w:pPr>
    </w:p>
    <w:p w14:paraId="7C9420BD" w14:textId="77777777" w:rsidR="001239C0" w:rsidRDefault="001239C0" w:rsidP="00393E08">
      <w:pPr>
        <w:rPr>
          <w:rFonts w:ascii="Times New Roman" w:hAnsi="Times New Roman" w:cs="Times New Roman"/>
        </w:rPr>
      </w:pPr>
    </w:p>
    <w:p w14:paraId="28079180" w14:textId="77777777" w:rsidR="001239C0" w:rsidRPr="003F6167" w:rsidRDefault="001239C0" w:rsidP="00393E08">
      <w:pPr>
        <w:rPr>
          <w:rFonts w:ascii="Times New Roman" w:hAnsi="Times New Roman" w:cs="Times New Roman"/>
        </w:rPr>
      </w:pPr>
    </w:p>
    <w:p w14:paraId="71E81536" w14:textId="77777777" w:rsidR="00D42EEA" w:rsidRPr="00F724A1" w:rsidRDefault="00000000" w:rsidP="00B30BDA">
      <w:pPr>
        <w:jc w:val="center"/>
        <w:rPr>
          <w:rFonts w:ascii="Times New Roman" w:hAnsi="Times New Roman" w:cs="Times New Roman"/>
        </w:rPr>
      </w:pPr>
      <w:r w:rsidRPr="00F724A1">
        <w:rPr>
          <w:rFonts w:ascii="Times New Roman" w:hAnsi="Times New Roman" w:cs="Times New Roman"/>
        </w:rPr>
        <w:t>_____________________________________________</w:t>
      </w:r>
    </w:p>
    <w:p w14:paraId="5884C7D4" w14:textId="77777777" w:rsidR="00B30BDA" w:rsidRPr="00F724A1" w:rsidRDefault="00B30BDA" w:rsidP="00B30BDA">
      <w:pPr>
        <w:jc w:val="center"/>
        <w:rPr>
          <w:rFonts w:ascii="Times New Roman" w:hAnsi="Times New Roman" w:cs="Times New Roman"/>
        </w:rPr>
      </w:pPr>
      <w:r w:rsidRPr="00F724A1">
        <w:rPr>
          <w:rFonts w:ascii="Times New Roman" w:hAnsi="Times New Roman" w:cs="Times New Roman"/>
        </w:rPr>
        <w:t>MARLI ROSA REGNER CAMARGO</w:t>
      </w:r>
    </w:p>
    <w:p w14:paraId="13D84F80" w14:textId="78F2F2D8" w:rsidR="00D42EEA" w:rsidRPr="00F724A1" w:rsidRDefault="00B30BDA" w:rsidP="00B30BDA">
      <w:pPr>
        <w:jc w:val="center"/>
        <w:rPr>
          <w:rFonts w:ascii="Times New Roman" w:hAnsi="Times New Roman" w:cs="Times New Roman"/>
        </w:rPr>
      </w:pPr>
      <w:r w:rsidRPr="00F724A1">
        <w:rPr>
          <w:rFonts w:ascii="Times New Roman" w:hAnsi="Times New Roman" w:cs="Times New Roman"/>
        </w:rPr>
        <w:t>Secretária Municipal de Educação, Cultura e Esporte</w:t>
      </w:r>
    </w:p>
    <w:p w14:paraId="79FC3DA7" w14:textId="3CCCCF68" w:rsidR="00D42EEA" w:rsidRDefault="00D42EEA" w:rsidP="00393E08">
      <w:pPr>
        <w:jc w:val="center"/>
        <w:rPr>
          <w:rFonts w:ascii="Times New Roman" w:hAnsi="Times New Roman" w:cs="Times New Roman"/>
          <w:color w:val="000000"/>
        </w:rPr>
      </w:pPr>
    </w:p>
    <w:p w14:paraId="115AAB01" w14:textId="77777777" w:rsidR="001239C0" w:rsidRPr="003F6167" w:rsidRDefault="001239C0" w:rsidP="00393E08">
      <w:pPr>
        <w:jc w:val="center"/>
        <w:rPr>
          <w:rFonts w:ascii="Times New Roman" w:hAnsi="Times New Roman" w:cs="Times New Roman"/>
        </w:rPr>
      </w:pPr>
    </w:p>
    <w:sectPr w:rsidR="001239C0" w:rsidRPr="003F6167">
      <w:footerReference w:type="default" r:id="rId7"/>
      <w:pgSz w:w="11906" w:h="16838"/>
      <w:pgMar w:top="1100" w:right="1000" w:bottom="1100" w:left="14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A5EFE" w14:textId="77777777" w:rsidR="008737A3" w:rsidRDefault="008737A3">
      <w:r>
        <w:separator/>
      </w:r>
    </w:p>
  </w:endnote>
  <w:endnote w:type="continuationSeparator" w:id="0">
    <w:p w14:paraId="544C9DE6" w14:textId="77777777" w:rsidR="008737A3" w:rsidRDefault="00873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EE20" w14:textId="77777777" w:rsidR="00D42EEA" w:rsidRDefault="00000000">
    <w:pPr>
      <w:pBdr>
        <w:top w:val="single" w:sz="4" w:space="3" w:color="1F4E79"/>
      </w:pBdr>
      <w:spacing w:before="60"/>
      <w:jc w:val="center"/>
    </w:pPr>
    <w:r>
      <w:rPr>
        <w:color w:val="555555"/>
        <w:sz w:val="17"/>
        <w:szCs w:val="17"/>
      </w:rPr>
      <w:t xml:space="preserve">Página </w:t>
    </w:r>
    <w:r>
      <w:rPr>
        <w:color w:val="555555"/>
        <w:sz w:val="17"/>
        <w:szCs w:val="17"/>
      </w:rPr>
      <w:fldChar w:fldCharType="begin"/>
    </w:r>
    <w:r>
      <w:rPr>
        <w:color w:val="555555"/>
        <w:sz w:val="17"/>
        <w:szCs w:val="17"/>
      </w:rPr>
      <w:instrText>PAGE</w:instrText>
    </w:r>
    <w:r>
      <w:rPr>
        <w:color w:val="555555"/>
        <w:sz w:val="17"/>
        <w:szCs w:val="17"/>
      </w:rPr>
      <w:fldChar w:fldCharType="separate"/>
    </w:r>
    <w:r w:rsidR="003F6167">
      <w:rPr>
        <w:noProof/>
        <w:color w:val="555555"/>
        <w:sz w:val="17"/>
        <w:szCs w:val="17"/>
      </w:rPr>
      <w:t>1</w:t>
    </w:r>
    <w:r>
      <w:rPr>
        <w:color w:val="555555"/>
        <w:sz w:val="17"/>
        <w:szCs w:val="17"/>
      </w:rPr>
      <w:fldChar w:fldCharType="end"/>
    </w:r>
    <w:r>
      <w:rPr>
        <w:color w:val="555555"/>
        <w:sz w:val="17"/>
        <w:szCs w:val="17"/>
      </w:rPr>
      <w:t xml:space="preserve"> de </w:t>
    </w:r>
    <w:r>
      <w:rPr>
        <w:color w:val="555555"/>
        <w:sz w:val="17"/>
        <w:szCs w:val="17"/>
      </w:rPr>
      <w:fldChar w:fldCharType="begin"/>
    </w:r>
    <w:r>
      <w:rPr>
        <w:color w:val="555555"/>
        <w:sz w:val="17"/>
        <w:szCs w:val="17"/>
      </w:rPr>
      <w:instrText>NUMPAGES</w:instrText>
    </w:r>
    <w:r>
      <w:rPr>
        <w:color w:val="555555"/>
        <w:sz w:val="17"/>
        <w:szCs w:val="17"/>
      </w:rPr>
      <w:fldChar w:fldCharType="separate"/>
    </w:r>
    <w:r w:rsidR="003F6167">
      <w:rPr>
        <w:noProof/>
        <w:color w:val="555555"/>
        <w:sz w:val="17"/>
        <w:szCs w:val="17"/>
      </w:rPr>
      <w:t>2</w:t>
    </w:r>
    <w:r>
      <w:rPr>
        <w:color w:val="555555"/>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3C26D" w14:textId="77777777" w:rsidR="008737A3" w:rsidRDefault="008737A3">
      <w:r>
        <w:separator/>
      </w:r>
    </w:p>
  </w:footnote>
  <w:footnote w:type="continuationSeparator" w:id="0">
    <w:p w14:paraId="38B21B4B" w14:textId="77777777" w:rsidR="008737A3" w:rsidRDefault="00873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EEA"/>
    <w:multiLevelType w:val="hybridMultilevel"/>
    <w:tmpl w:val="4274C306"/>
    <w:lvl w:ilvl="0" w:tplc="6F94E320">
      <w:start w:val="1"/>
      <w:numFmt w:val="bullet"/>
      <w:lvlText w:val="●"/>
      <w:lvlJc w:val="left"/>
      <w:pPr>
        <w:ind w:left="720" w:hanging="360"/>
      </w:pPr>
    </w:lvl>
    <w:lvl w:ilvl="1" w:tplc="C7DE47B4">
      <w:start w:val="1"/>
      <w:numFmt w:val="bullet"/>
      <w:lvlText w:val="○"/>
      <w:lvlJc w:val="left"/>
      <w:pPr>
        <w:ind w:left="1440" w:hanging="360"/>
      </w:pPr>
    </w:lvl>
    <w:lvl w:ilvl="2" w:tplc="4F6E9E4A">
      <w:start w:val="1"/>
      <w:numFmt w:val="bullet"/>
      <w:lvlText w:val="■"/>
      <w:lvlJc w:val="left"/>
      <w:pPr>
        <w:ind w:left="2160" w:hanging="360"/>
      </w:pPr>
    </w:lvl>
    <w:lvl w:ilvl="3" w:tplc="0D76D0BC">
      <w:start w:val="1"/>
      <w:numFmt w:val="bullet"/>
      <w:lvlText w:val="●"/>
      <w:lvlJc w:val="left"/>
      <w:pPr>
        <w:ind w:left="2880" w:hanging="360"/>
      </w:pPr>
    </w:lvl>
    <w:lvl w:ilvl="4" w:tplc="59822EAA">
      <w:start w:val="1"/>
      <w:numFmt w:val="bullet"/>
      <w:lvlText w:val="○"/>
      <w:lvlJc w:val="left"/>
      <w:pPr>
        <w:ind w:left="3600" w:hanging="360"/>
      </w:pPr>
    </w:lvl>
    <w:lvl w:ilvl="5" w:tplc="841A655E">
      <w:start w:val="1"/>
      <w:numFmt w:val="bullet"/>
      <w:lvlText w:val="■"/>
      <w:lvlJc w:val="left"/>
      <w:pPr>
        <w:ind w:left="4320" w:hanging="360"/>
      </w:pPr>
    </w:lvl>
    <w:lvl w:ilvl="6" w:tplc="2206C13A">
      <w:start w:val="1"/>
      <w:numFmt w:val="bullet"/>
      <w:lvlText w:val="●"/>
      <w:lvlJc w:val="left"/>
      <w:pPr>
        <w:ind w:left="5040" w:hanging="360"/>
      </w:pPr>
    </w:lvl>
    <w:lvl w:ilvl="7" w:tplc="7A765BB2">
      <w:start w:val="1"/>
      <w:numFmt w:val="bullet"/>
      <w:lvlText w:val="●"/>
      <w:lvlJc w:val="left"/>
      <w:pPr>
        <w:ind w:left="5760" w:hanging="360"/>
      </w:pPr>
    </w:lvl>
    <w:lvl w:ilvl="8" w:tplc="476C5924">
      <w:start w:val="1"/>
      <w:numFmt w:val="bullet"/>
      <w:lvlText w:val="●"/>
      <w:lvlJc w:val="left"/>
      <w:pPr>
        <w:ind w:left="6480" w:hanging="360"/>
      </w:pPr>
    </w:lvl>
  </w:abstractNum>
  <w:abstractNum w:abstractNumId="1" w15:restartNumberingAfterBreak="0">
    <w:nsid w:val="3DE375CA"/>
    <w:multiLevelType w:val="hybridMultilevel"/>
    <w:tmpl w:val="4846F48A"/>
    <w:lvl w:ilvl="0" w:tplc="016E338A">
      <w:start w:val="1"/>
      <w:numFmt w:val="bullet"/>
      <w:lvlText w:val="–"/>
      <w:lvlJc w:val="left"/>
      <w:pPr>
        <w:ind w:left="560" w:hanging="280"/>
      </w:pPr>
    </w:lvl>
    <w:lvl w:ilvl="1" w:tplc="959E503C">
      <w:numFmt w:val="decimal"/>
      <w:lvlText w:val=""/>
      <w:lvlJc w:val="left"/>
    </w:lvl>
    <w:lvl w:ilvl="2" w:tplc="94CA9096">
      <w:numFmt w:val="decimal"/>
      <w:lvlText w:val=""/>
      <w:lvlJc w:val="left"/>
    </w:lvl>
    <w:lvl w:ilvl="3" w:tplc="36E68B9E">
      <w:numFmt w:val="decimal"/>
      <w:lvlText w:val=""/>
      <w:lvlJc w:val="left"/>
    </w:lvl>
    <w:lvl w:ilvl="4" w:tplc="CE52B2FE">
      <w:numFmt w:val="decimal"/>
      <w:lvlText w:val=""/>
      <w:lvlJc w:val="left"/>
    </w:lvl>
    <w:lvl w:ilvl="5" w:tplc="5E3CA32E">
      <w:numFmt w:val="decimal"/>
      <w:lvlText w:val=""/>
      <w:lvlJc w:val="left"/>
    </w:lvl>
    <w:lvl w:ilvl="6" w:tplc="A982672E">
      <w:numFmt w:val="decimal"/>
      <w:lvlText w:val=""/>
      <w:lvlJc w:val="left"/>
    </w:lvl>
    <w:lvl w:ilvl="7" w:tplc="EF06829C">
      <w:numFmt w:val="decimal"/>
      <w:lvlText w:val=""/>
      <w:lvlJc w:val="left"/>
    </w:lvl>
    <w:lvl w:ilvl="8" w:tplc="193EDBAE">
      <w:numFmt w:val="decimal"/>
      <w:lvlText w:val=""/>
      <w:lvlJc w:val="left"/>
    </w:lvl>
  </w:abstractNum>
  <w:abstractNum w:abstractNumId="2" w15:restartNumberingAfterBreak="0">
    <w:nsid w:val="7DAA2B0C"/>
    <w:multiLevelType w:val="multilevel"/>
    <w:tmpl w:val="51DE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1532967">
    <w:abstractNumId w:val="0"/>
    <w:lvlOverride w:ilvl="0">
      <w:startOverride w:val="1"/>
    </w:lvlOverride>
  </w:num>
  <w:num w:numId="2" w16cid:durableId="243691296">
    <w:abstractNumId w:val="1"/>
    <w:lvlOverride w:ilvl="0">
      <w:startOverride w:val="1"/>
    </w:lvlOverride>
  </w:num>
  <w:num w:numId="3" w16cid:durableId="294720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EA"/>
    <w:rsid w:val="0000003B"/>
    <w:rsid w:val="0000652E"/>
    <w:rsid w:val="00073755"/>
    <w:rsid w:val="00085F90"/>
    <w:rsid w:val="000C1DA0"/>
    <w:rsid w:val="001239C0"/>
    <w:rsid w:val="00344286"/>
    <w:rsid w:val="00376423"/>
    <w:rsid w:val="00393E08"/>
    <w:rsid w:val="003F6167"/>
    <w:rsid w:val="00403B70"/>
    <w:rsid w:val="00465EA1"/>
    <w:rsid w:val="004706CF"/>
    <w:rsid w:val="004815F1"/>
    <w:rsid w:val="0050675A"/>
    <w:rsid w:val="00517FD5"/>
    <w:rsid w:val="00593620"/>
    <w:rsid w:val="005C25E6"/>
    <w:rsid w:val="007165BC"/>
    <w:rsid w:val="0072788B"/>
    <w:rsid w:val="00741FF9"/>
    <w:rsid w:val="00763D3D"/>
    <w:rsid w:val="008426D3"/>
    <w:rsid w:val="008737A3"/>
    <w:rsid w:val="008E319C"/>
    <w:rsid w:val="009C770E"/>
    <w:rsid w:val="00A0326F"/>
    <w:rsid w:val="00A471BA"/>
    <w:rsid w:val="00B30BDA"/>
    <w:rsid w:val="00BA19BB"/>
    <w:rsid w:val="00BD7009"/>
    <w:rsid w:val="00C1247F"/>
    <w:rsid w:val="00C63A30"/>
    <w:rsid w:val="00C64D9E"/>
    <w:rsid w:val="00D42EEA"/>
    <w:rsid w:val="00D66B52"/>
    <w:rsid w:val="00E10920"/>
    <w:rsid w:val="00EC5999"/>
    <w:rsid w:val="00F724A1"/>
    <w:rsid w:val="00F86A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BA2C6"/>
  <w15:docId w15:val="{64F892A0-669A-4C1B-B785-F2A5452A3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 w:type="paragraph" w:styleId="Cabealho">
    <w:name w:val="header"/>
    <w:basedOn w:val="Normal"/>
    <w:link w:val="CabealhoChar"/>
    <w:uiPriority w:val="99"/>
    <w:unhideWhenUsed/>
    <w:rsid w:val="003F6167"/>
    <w:pPr>
      <w:tabs>
        <w:tab w:val="center" w:pos="4252"/>
        <w:tab w:val="right" w:pos="8504"/>
      </w:tabs>
    </w:pPr>
  </w:style>
  <w:style w:type="character" w:customStyle="1" w:styleId="CabealhoChar">
    <w:name w:val="Cabeçalho Char"/>
    <w:basedOn w:val="Fontepargpadro"/>
    <w:link w:val="Cabealho"/>
    <w:uiPriority w:val="99"/>
    <w:rsid w:val="003F6167"/>
  </w:style>
  <w:style w:type="paragraph" w:styleId="Rodap">
    <w:name w:val="footer"/>
    <w:basedOn w:val="Normal"/>
    <w:link w:val="RodapChar"/>
    <w:uiPriority w:val="99"/>
    <w:unhideWhenUsed/>
    <w:rsid w:val="003F6167"/>
    <w:pPr>
      <w:tabs>
        <w:tab w:val="center" w:pos="4252"/>
        <w:tab w:val="right" w:pos="8504"/>
      </w:tabs>
    </w:pPr>
  </w:style>
  <w:style w:type="character" w:customStyle="1" w:styleId="RodapChar">
    <w:name w:val="Rodapé Char"/>
    <w:basedOn w:val="Fontepargpadro"/>
    <w:link w:val="Rodap"/>
    <w:uiPriority w:val="99"/>
    <w:rsid w:val="003F6167"/>
  </w:style>
  <w:style w:type="paragraph" w:customStyle="1" w:styleId="w6asjqtextbase">
    <w:name w:val="w6asjq_textbase"/>
    <w:basedOn w:val="Normal"/>
    <w:rsid w:val="00BA19BB"/>
    <w:pPr>
      <w:spacing w:before="100" w:beforeAutospacing="1" w:after="100" w:afterAutospacing="1"/>
    </w:pPr>
    <w:rPr>
      <w:rFonts w:ascii="Times New Roman" w:eastAsia="Times New Roman" w:hAnsi="Times New Roman" w:cs="Times New Roman"/>
      <w:sz w:val="24"/>
      <w:szCs w:val="24"/>
    </w:rPr>
  </w:style>
  <w:style w:type="character" w:customStyle="1" w:styleId="w6asjqtextbase1">
    <w:name w:val="w6asjq_textbase1"/>
    <w:basedOn w:val="Fontepargpadro"/>
    <w:rsid w:val="00BA19BB"/>
  </w:style>
  <w:style w:type="table" w:styleId="Tabelacomgrade">
    <w:name w:val="Table Grid"/>
    <w:basedOn w:val="Tabelanormal"/>
    <w:uiPriority w:val="39"/>
    <w:rsid w:val="00BA1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11</Pages>
  <Words>5554</Words>
  <Characters>29994</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ANDRESSA TRIACCA</cp:lastModifiedBy>
  <cp:revision>37</cp:revision>
  <dcterms:created xsi:type="dcterms:W3CDTF">2026-08-27T10:56:00Z</dcterms:created>
  <dcterms:modified xsi:type="dcterms:W3CDTF">2026-09-09T17:25:00Z</dcterms:modified>
</cp:coreProperties>
</file>