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015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3"/>
        <w:gridCol w:w="9515"/>
        <w:gridCol w:w="8"/>
      </w:tblGrid>
      <w:tr w:rsidR="00AA323C" w:rsidRPr="002412B0" w14:paraId="234C8486" w14:textId="77777777" w:rsidTr="002412B0">
        <w:trPr>
          <w:trHeight w:val="533"/>
        </w:trPr>
        <w:tc>
          <w:tcPr>
            <w:tcW w:w="10156" w:type="dxa"/>
            <w:gridSpan w:val="3"/>
          </w:tcPr>
          <w:p w14:paraId="7B084C3C" w14:textId="2D8BC183" w:rsidR="00AA323C" w:rsidRPr="002412B0" w:rsidRDefault="00602A13" w:rsidP="002412B0">
            <w:pPr>
              <w:spacing w:after="0" w:line="240" w:lineRule="auto"/>
              <w:ind w:right="191"/>
              <w:jc w:val="center"/>
              <w:rPr>
                <w:rFonts w:ascii="Times New Roman" w:eastAsia="Arial MT" w:hAnsi="Times New Roman" w:cs="Times New Roman"/>
                <w:b/>
                <w:bCs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 xml:space="preserve">ESTUDO TÉCNICO PRELIMINAR Nº </w:t>
            </w:r>
            <w:r w:rsidR="002412B0" w:rsidRPr="002412B0">
              <w:rPr>
                <w:rFonts w:ascii="Times New Roman" w:hAnsi="Times New Roman" w:cs="Times New Roman"/>
                <w:b/>
              </w:rPr>
              <w:t>39</w:t>
            </w:r>
            <w:r w:rsidRPr="002412B0">
              <w:rPr>
                <w:rFonts w:ascii="Times New Roman" w:hAnsi="Times New Roman" w:cs="Times New Roman"/>
                <w:b/>
              </w:rPr>
              <w:t>/2026</w:t>
            </w:r>
          </w:p>
          <w:p w14:paraId="0861998E" w14:textId="00315341" w:rsidR="002B4569" w:rsidRPr="002412B0" w:rsidRDefault="00000000" w:rsidP="002412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  <w:b/>
              </w:rPr>
              <w:t xml:space="preserve">Secretaria de Transporte, Obras e Serviços Públicos </w:t>
            </w:r>
          </w:p>
        </w:tc>
      </w:tr>
      <w:tr w:rsidR="00AA323C" w:rsidRPr="002412B0" w14:paraId="612E8205" w14:textId="77777777" w:rsidTr="002412B0">
        <w:trPr>
          <w:trHeight w:val="558"/>
        </w:trPr>
        <w:tc>
          <w:tcPr>
            <w:tcW w:w="10156" w:type="dxa"/>
            <w:gridSpan w:val="3"/>
          </w:tcPr>
          <w:p w14:paraId="4984DB66" w14:textId="77777777" w:rsidR="00AA323C" w:rsidRPr="002412B0" w:rsidRDefault="00602A13" w:rsidP="002412B0">
            <w:pPr>
              <w:spacing w:after="0" w:line="240" w:lineRule="auto"/>
              <w:ind w:right="191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INTRODUÇÃO</w:t>
            </w:r>
          </w:p>
          <w:p w14:paraId="3A972786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 xml:space="preserve">O presente Estudo Técnico Preliminar (ETP) constitui a primeira etapa do planejamento da contratação, nos termos do art. 18 da Lei nº 14.133/2021, e tem por finalidade demonstrar a necessidade da obra, evidenciar o interesse público envolvido, analisar a viabilidade da solução proposta e subsidiar a elaboração dos documentos técnicos que instruirão o procedimento licitatório, em especial o Projeto Básico, o orçamento de referência e os demais elementos da fase preparatória. </w:t>
            </w:r>
          </w:p>
          <w:p w14:paraId="5994FCD4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A contratação pretendida tem por objeto a execução de obra de construção de muros de contenção em blocos de concreto estrutural e estrutura de concreto armado, com execução de sistema de drenagem pluvial e cercamento, destinada à implantação do Plano de Recuperação de Área Degradada (PRAD) das Áreas Verdes nº 02 e 03, situadas no Núcleo Residencial COHAB, Bairro Nossa Senhora do Rosário, no Município de Palmitos/SC.</w:t>
            </w:r>
          </w:p>
          <w:p w14:paraId="43B4405C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A intervenção decorre da necessidade de cumprimento da condicionante estabelecida na Autorização Ambiental (AuA) CONDER nº 10.420/2024, visando à recuperação ambiental da área, à estabilização dos taludes, ao adequado escoamento das águas pluviais e à proteção do patrimônio público e da segurança da população.</w:t>
            </w:r>
          </w:p>
          <w:p w14:paraId="3264D43A" w14:textId="10C7E045" w:rsidR="002B4569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Os quantitativos e o orçamento de referência foram elaborados por profissional legalmente habilitado, com base no Memorial de Cálculo dos Quantitativos de Serviços, na planilha orçamentária e no cronograma físico-financeiro, observando os critérios técnicos aplicáveis às obras públicas.</w:t>
            </w:r>
          </w:p>
        </w:tc>
      </w:tr>
      <w:tr w:rsidR="00AA323C" w:rsidRPr="002412B0" w14:paraId="186CA1A0" w14:textId="77777777" w:rsidTr="002412B0">
        <w:tc>
          <w:tcPr>
            <w:tcW w:w="10156" w:type="dxa"/>
            <w:gridSpan w:val="3"/>
          </w:tcPr>
          <w:p w14:paraId="503EE88F" w14:textId="77777777" w:rsidR="00AA323C" w:rsidRPr="002412B0" w:rsidRDefault="00602A13" w:rsidP="002412B0">
            <w:pPr>
              <w:spacing w:after="0" w:line="240" w:lineRule="auto"/>
              <w:ind w:right="191"/>
              <w:jc w:val="center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AA323C" w:rsidRPr="002412B0" w14:paraId="25F99E2F" w14:textId="77777777" w:rsidTr="002412B0">
        <w:trPr>
          <w:gridAfter w:val="1"/>
          <w:wAfter w:w="8" w:type="dxa"/>
          <w:trHeight w:val="416"/>
        </w:trPr>
        <w:tc>
          <w:tcPr>
            <w:tcW w:w="633" w:type="dxa"/>
          </w:tcPr>
          <w:p w14:paraId="1A812B47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1.</w:t>
            </w:r>
          </w:p>
        </w:tc>
        <w:tc>
          <w:tcPr>
            <w:tcW w:w="9515" w:type="dxa"/>
          </w:tcPr>
          <w:p w14:paraId="2D126ACE" w14:textId="04DF18E9" w:rsidR="002B4569" w:rsidRPr="002412B0" w:rsidRDefault="00602A13" w:rsidP="002412B0">
            <w:pPr>
              <w:shd w:val="clear" w:color="auto" w:fill="FFFFFF" w:themeFill="background1"/>
              <w:spacing w:after="0" w:line="240" w:lineRule="auto"/>
              <w:ind w:right="22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Descrição da necessidade da contratação, considerado o problema a ser resolvido sob a perspectiva do interesse público.</w:t>
            </w:r>
          </w:p>
          <w:p w14:paraId="5EA446B1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A presente contratação tem por finalidade a execução de obra de construção de muros de contenção em blocos de concreto estrutural e estrutura de concreto armado, compreendendo ainda a implantação de sistema de drenagem pluvial, cercamento e demais serviços complementares necessários à recuperação das Áreas Verdes nº 02 e 03, localizadas no Núcleo Residencial COHAB, Bairro Nossa Senhora do Rosário, no Município de Palmitos/SC.</w:t>
            </w:r>
          </w:p>
          <w:p w14:paraId="5F38F03B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A necessidade da contratação decorre do cumprimento de obrigação ambiental estabelecida na Autorização Ambiental (AuA) CONDER nº 10.420/2024, vinculada à execução do Plano de Recuperação de Área Degradada (PRAD) das referidas áreas. A autorização ambiental condiciona a regularização do empreendimento à implantação das obras de contenção e das medidas de recuperação previstas no projeto técnico, constituindo obrigação formal assumida pelo Município perante o órgão licenciador e no âmbito do Inquérito Civil nº 06.2016.00004597-1.</w:t>
            </w:r>
          </w:p>
          <w:p w14:paraId="2664F1E9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O problema a ser resolvido consiste na existência de áreas com instabilidade de taludes, suscetíveis a processos erosivos e ao escoamento inadequado das águas pluviais, situação que compromete a segurança do patrimônio público, a integridade das áreas verdes e o cumprimento das exigências ambientais incidentes sobre o local. A ausência da intervenção poderá ocasionar a continuidade da degradação ambiental, riscos à infraestrutura urbana adjacente e o descumprimento das condicionantes da autorização ambiental.</w:t>
            </w:r>
          </w:p>
          <w:p w14:paraId="09A12F65" w14:textId="77777777" w:rsidR="002412B0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Sob a perspectiva do interesse público, a execução da obra proporcionará os seguintes benefícios:</w:t>
            </w:r>
          </w:p>
          <w:p w14:paraId="07A3EE91" w14:textId="77777777" w:rsidR="002412B0" w:rsidRPr="002412B0" w:rsidRDefault="002412B0" w:rsidP="002412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cumprimento integral das condicionantes estabelecidas na Autorização Ambiental (AuA) CONDER nº 10.420/2024, promovendo a regularização ambiental das áreas;</w:t>
            </w:r>
          </w:p>
          <w:p w14:paraId="3703DEFB" w14:textId="77777777" w:rsidR="002412B0" w:rsidRPr="002412B0" w:rsidRDefault="002412B0" w:rsidP="002412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estabilização dos taludes por meio da construção dos muros de contenção, reduzindo riscos de erosão e movimentação de solo;</w:t>
            </w:r>
          </w:p>
          <w:p w14:paraId="2A8E26C4" w14:textId="77777777" w:rsidR="002412B0" w:rsidRPr="002412B0" w:rsidRDefault="002412B0" w:rsidP="002412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implantação de sistema adequado de drenagem pluvial, evitando o carreamento de sedimentos e minimizando impactos sobre as vias e imóveis lindeiros;</w:t>
            </w:r>
          </w:p>
          <w:p w14:paraId="2A71F00A" w14:textId="77777777" w:rsidR="002412B0" w:rsidRPr="002412B0" w:rsidRDefault="002412B0" w:rsidP="002412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proteção e recuperação das Áreas Verdes nº 02 e 03, possibilitando a recomposição vegetal prevista no PRAD e a preservação de sua função ambiental;</w:t>
            </w:r>
          </w:p>
          <w:p w14:paraId="70128A5E" w14:textId="77777777" w:rsidR="002412B0" w:rsidRPr="002412B0" w:rsidRDefault="002412B0" w:rsidP="002412B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t>valorização e segurança dos espaços públicos inseridos em área urbana de interesse social, beneficiando diretamente a população do entorno.</w:t>
            </w:r>
          </w:p>
          <w:p w14:paraId="66B0C16F" w14:textId="5AA9A881" w:rsidR="002B4569" w:rsidRPr="002412B0" w:rsidRDefault="002412B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lang w:val="pt-BR"/>
              </w:rPr>
              <w:lastRenderedPageBreak/>
              <w:t>Dessa forma, a contratação evidencia interesse público relevante, atende ao dever constitucional de proteção ao meio ambiente e observa os princípios do planejamento, da legalidade, da eficiência e da prevenção, previstos na Lei nº 14.133/2021, constituindo medida indispensável para a execução da política pública de recuperação ambiental e regularização da área degradada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09391B9F" w14:textId="77777777" w:rsidTr="002412B0">
        <w:trPr>
          <w:gridAfter w:val="1"/>
          <w:wAfter w:w="8" w:type="dxa"/>
          <w:trHeight w:val="1126"/>
        </w:trPr>
        <w:tc>
          <w:tcPr>
            <w:tcW w:w="633" w:type="dxa"/>
          </w:tcPr>
          <w:p w14:paraId="74364943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2.</w:t>
            </w:r>
          </w:p>
        </w:tc>
        <w:tc>
          <w:tcPr>
            <w:tcW w:w="9515" w:type="dxa"/>
          </w:tcPr>
          <w:p w14:paraId="61A58786" w14:textId="77777777" w:rsidR="00AA323C" w:rsidRPr="002412B0" w:rsidRDefault="00602A13" w:rsidP="002412B0">
            <w:pPr>
              <w:spacing w:after="0" w:line="240" w:lineRule="auto"/>
              <w:ind w:leftChars="50" w:left="110" w:right="193"/>
              <w:jc w:val="both"/>
              <w:rPr>
                <w:rFonts w:ascii="Times New Roman" w:eastAsia="Arial MT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Demonstração da previsão da contratação no plano de contratações anual, sempre que elaborado, de modo a indicar o seu alinhamento com o planejamento da Administração.</w:t>
            </w:r>
          </w:p>
          <w:p w14:paraId="3E67F11D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 xml:space="preserve">O Município de Palmitos/SC não possui, até o momento, </w:t>
            </w:r>
            <w:r w:rsidRPr="00163821">
              <w:rPr>
                <w:rFonts w:ascii="Times New Roman" w:hAnsi="Times New Roman" w:cs="Times New Roman"/>
                <w:b/>
                <w:bCs/>
              </w:rPr>
              <w:t>Plano de Contratações Anual (PCA) formalizado</w:t>
            </w:r>
            <w:r w:rsidRPr="00163821">
              <w:rPr>
                <w:rFonts w:ascii="Times New Roman" w:hAnsi="Times New Roman" w:cs="Times New Roman"/>
              </w:rPr>
              <w:t xml:space="preserve"> para o exercício de 2026.</w:t>
            </w:r>
          </w:p>
          <w:p w14:paraId="3499BEED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Dessa forma, não é possível demonstrar a previsão específica da presente contratação em instrumento dessa natureza. Entretanto, a ausência do PCA não afasta a necessidade de planejamento da contratação, a qual está fundamentada na demanda apresentada pela Secretaria Municipal de Transporte, Obras e Serviços Públicos e na necessidade de assegurar a continuidade e a adequada execução dos serviços públicos de responsabilidade do Município.</w:t>
            </w:r>
          </w:p>
          <w:p w14:paraId="093E5854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A presente contratação encontra-se compatível com as necessidades administrativas e operacionais identificadas pela Secretaria requisitante, observando-se os princípios do planejamento, da eficiência, da economicidade e do interesse público, bem como as disposições da Lei Federal nº 14.133/2021.</w:t>
            </w:r>
          </w:p>
          <w:p w14:paraId="74129DB5" w14:textId="03640F98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Assim, embora não esteja prevista em PCA, a contratação está devidamente justificada nos documentos de planejamento que compõem a fase preparatória do processo licitatório, especialmente no Documento de Formalização da Demanda, neste Estudo Técnico Preliminar e no respectivo Termo de Referência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6CF6EC92" w14:textId="77777777" w:rsidTr="002412B0">
        <w:trPr>
          <w:gridAfter w:val="1"/>
          <w:wAfter w:w="8" w:type="dxa"/>
          <w:trHeight w:val="699"/>
        </w:trPr>
        <w:tc>
          <w:tcPr>
            <w:tcW w:w="633" w:type="dxa"/>
          </w:tcPr>
          <w:p w14:paraId="6EE567C5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3.</w:t>
            </w:r>
          </w:p>
        </w:tc>
        <w:tc>
          <w:tcPr>
            <w:tcW w:w="9515" w:type="dxa"/>
          </w:tcPr>
          <w:p w14:paraId="71CAD591" w14:textId="77777777" w:rsidR="00AA323C" w:rsidRPr="002412B0" w:rsidRDefault="00602A13" w:rsidP="002412B0">
            <w:pPr>
              <w:spacing w:after="0" w:line="240" w:lineRule="auto"/>
              <w:ind w:leftChars="50" w:left="110" w:right="193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Requisitos da contratação</w:t>
            </w:r>
          </w:p>
          <w:p w14:paraId="195A7D52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>A contratação deverá observar requisitos técnicos, operacionais, ambientais e de execução suficientes para assegurar a adequada realização da obra, o cumprimento das normas aplicáveis e o atendimento das condicionantes estabelecidas na Autorização Ambiental (AuA) CONDER nº 10.420/2024.</w:t>
            </w:r>
          </w:p>
          <w:p w14:paraId="3F866537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>Constituem requisitos da contratação:</w:t>
            </w:r>
          </w:p>
          <w:p w14:paraId="21E5D230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a) Requisitos técnicos e de execução</w:t>
            </w:r>
          </w:p>
          <w:p w14:paraId="08BD41CD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execução deverá observar integralmente o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Projeto Básico e seus anexos, projeto estrutural, projeto de drenagem, memorial de cálculo dos quantitativos, planilha orçamentária, cronograma físico-financeiro e demais documentos técnicos</w:t>
            </w:r>
            <w:r w:rsidRPr="006836D6">
              <w:rPr>
                <w:rFonts w:ascii="Times New Roman" w:hAnsi="Times New Roman" w:cs="Times New Roman"/>
                <w:lang w:val="pt-BR"/>
              </w:rPr>
              <w:t xml:space="preserve"> que integram o processo; </w:t>
            </w:r>
          </w:p>
          <w:p w14:paraId="5F91F817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Os serviços deverão ser executados por empresa especializada e por profissionais legalmente habilitados, observando as normas técnicas da ABNT aplicáveis, a legislação pertinente e as determinações dos órgãos competentes; </w:t>
            </w:r>
          </w:p>
          <w:p w14:paraId="7DE7610B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contratada deverá disponibilizar mão de obra, equipamentos, ferramentas, materiais, insumos, transporte, instalações provisórias, equipamentos de proteção e demais recursos necessários à execução integral da obra, sem prejuízo das obrigações estabelecidas no Projeto Básico e no contrato; </w:t>
            </w:r>
          </w:p>
          <w:p w14:paraId="3082E945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execução das fundações, estruturas de concreto armado, muros de contenção em blocos estruturais, sistemas de drenagem e demais elementos deverá observar rigorosamente os projetos e especificações técnicas, não sendo admitidas alterações que comprometam o desempenho, a estabilidade ou a funcionalidade da solução; </w:t>
            </w:r>
          </w:p>
          <w:p w14:paraId="293BC2BA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contratada deverá manter, durante toda a execução,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responsável técnico legalmente habilitado</w:t>
            </w:r>
            <w:r w:rsidRPr="006836D6">
              <w:rPr>
                <w:rFonts w:ascii="Times New Roman" w:hAnsi="Times New Roman" w:cs="Times New Roman"/>
                <w:lang w:val="pt-BR"/>
              </w:rPr>
              <w:t xml:space="preserve">, com atribuição compatível com os serviços executados, providenciando a respectiva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Anotação de Responsabilidade Técnica – ART</w:t>
            </w:r>
            <w:r w:rsidRPr="006836D6">
              <w:rPr>
                <w:rFonts w:ascii="Times New Roman" w:hAnsi="Times New Roman" w:cs="Times New Roman"/>
                <w:lang w:val="pt-BR"/>
              </w:rPr>
              <w:t xml:space="preserve">, na forma da legislação profissional aplicável; </w:t>
            </w:r>
          </w:p>
          <w:p w14:paraId="74AA180F" w14:textId="77777777" w:rsidR="006836D6" w:rsidRPr="006836D6" w:rsidRDefault="006836D6" w:rsidP="006836D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obra deverá ser executada dentro do prazo estabelecido no contrato e de acordo com o cronograma físico-financeiro aprovado, cabendo à contratada providenciar previamente os recursos necessários para garantir o cumprimento das etapas previstas; </w:t>
            </w:r>
          </w:p>
          <w:p w14:paraId="3C69E405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b) Requisitos ambientais</w:t>
            </w:r>
          </w:p>
          <w:p w14:paraId="455D754C" w14:textId="77777777" w:rsidR="006836D6" w:rsidRPr="006836D6" w:rsidRDefault="006836D6" w:rsidP="006836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execução deverá observar integralmente a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Autorização Ambiental (AuA) CONDER nº 10.420/2024</w:t>
            </w:r>
            <w:r w:rsidRPr="006836D6">
              <w:rPr>
                <w:rFonts w:ascii="Times New Roman" w:hAnsi="Times New Roman" w:cs="Times New Roman"/>
                <w:lang w:val="pt-BR"/>
              </w:rPr>
              <w:t xml:space="preserve">, o PRAD e as demais determinações ambientais aplicáveis ao local; </w:t>
            </w:r>
          </w:p>
          <w:p w14:paraId="2D69CA83" w14:textId="77777777" w:rsidR="006836D6" w:rsidRPr="006836D6" w:rsidRDefault="006836D6" w:rsidP="006836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Deverão ser adotadas medidas destinadas à preservação da vegetação existente que não esteja </w:t>
            </w:r>
            <w:r w:rsidRPr="006836D6">
              <w:rPr>
                <w:rFonts w:ascii="Times New Roman" w:hAnsi="Times New Roman" w:cs="Times New Roman"/>
                <w:lang w:val="pt-BR"/>
              </w:rPr>
              <w:lastRenderedPageBreak/>
              <w:t xml:space="preserve">autorizada para supressão, à proteção das áreas adjacentes e à prevenção de danos ambientais durante a execução; </w:t>
            </w:r>
          </w:p>
          <w:p w14:paraId="4E8ADEA1" w14:textId="77777777" w:rsidR="006836D6" w:rsidRPr="006836D6" w:rsidRDefault="006836D6" w:rsidP="006836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contratada deverá adotar medidas de controle de erosão, assoreamento, carreamento de sedimentos, emissão de poeira, geração de resíduos e demais impactos decorrentes da execução da obra; </w:t>
            </w:r>
          </w:p>
          <w:p w14:paraId="408B9490" w14:textId="77777777" w:rsidR="006836D6" w:rsidRPr="006836D6" w:rsidRDefault="006836D6" w:rsidP="006836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Os resíduos da construção civil deverão ser segregados, acondicionados, transportados e destinados de forma ambientalmente adequada, observada a legislação aplicável; </w:t>
            </w:r>
          </w:p>
          <w:p w14:paraId="45CF3C7E" w14:textId="77777777" w:rsidR="006836D6" w:rsidRPr="006836D6" w:rsidRDefault="006836D6" w:rsidP="006836D6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execução deverá respeitar a delimitação das áreas objeto da intervenção, evitando intervenções ou danos em imóveis, áreas verdes ou estruturas que não integrem o objeto contratado. </w:t>
            </w:r>
          </w:p>
          <w:p w14:paraId="3A5081FE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c) Requisitos de segurança e proteção do entorno</w:t>
            </w:r>
          </w:p>
          <w:p w14:paraId="3D97CD68" w14:textId="77777777" w:rsidR="006836D6" w:rsidRPr="006836D6" w:rsidRDefault="006836D6" w:rsidP="006836D6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contratada deverá adotar todas as medidas necessárias à segurança dos trabalhadores, moradores, pedestres, veículos e demais pessoas que possam ser afetadas pela execução da obra; </w:t>
            </w:r>
          </w:p>
          <w:p w14:paraId="03AFEA59" w14:textId="77777777" w:rsidR="006836D6" w:rsidRPr="006836D6" w:rsidRDefault="006836D6" w:rsidP="006836D6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O canteiro e as áreas de intervenção deverão permanecer devidamente sinalizados, isolados e organizados durante todo o período de execução; </w:t>
            </w:r>
          </w:p>
          <w:p w14:paraId="0EBE0A76" w14:textId="77777777" w:rsidR="006836D6" w:rsidRPr="006836D6" w:rsidRDefault="006836D6" w:rsidP="006836D6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contratada deverá observar a legislação de segurança e saúde no trabalho, fornecendo e exigindo o uso dos equipamentos de proteção individual e coletiva necessários à execução dos serviços; </w:t>
            </w:r>
          </w:p>
          <w:p w14:paraId="2BA41833" w14:textId="77777777" w:rsidR="006836D6" w:rsidRPr="006836D6" w:rsidRDefault="006836D6" w:rsidP="006836D6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Deverão ser adotadas medidas para minimizar os transtornos decorrentes da execução da obra aos moradores e usuários das vias e áreas adjacentes. </w:t>
            </w:r>
          </w:p>
          <w:p w14:paraId="5141335E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d) Requisitos de qualidade e controle</w:t>
            </w:r>
          </w:p>
          <w:p w14:paraId="4D5C8AFE" w14:textId="77777777" w:rsidR="006836D6" w:rsidRPr="006836D6" w:rsidRDefault="006836D6" w:rsidP="006836D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Os materiais empregados deverão ser novos, de qualidade compatível com sua finalidade e atender às especificações estabelecidas no Projeto Básico e às normas técnicas aplicáveis; </w:t>
            </w:r>
          </w:p>
          <w:p w14:paraId="724D170D" w14:textId="77777777" w:rsidR="006836D6" w:rsidRPr="006836D6" w:rsidRDefault="006836D6" w:rsidP="006836D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Quando exigível pelas especificações técnicas ou pela fiscalização, deverão ser realizados ensaios, testes e controles tecnológicos necessários à verificação da qualidade e do desempenho dos materiais e serviços executados; </w:t>
            </w:r>
          </w:p>
          <w:p w14:paraId="127A3354" w14:textId="77777777" w:rsidR="006836D6" w:rsidRPr="006836D6" w:rsidRDefault="006836D6" w:rsidP="006836D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Os serviços somente serão considerados aptos para medição e pagamento após a verificação de sua conformidade pela fiscalização; </w:t>
            </w:r>
          </w:p>
          <w:p w14:paraId="750FDCAD" w14:textId="77777777" w:rsidR="006836D6" w:rsidRPr="006836D6" w:rsidRDefault="006836D6" w:rsidP="006836D6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Eventuais serviços executados em desacordo com os projetos, especificações ou normas aplicáveis deverão ser corrigidos pela contratada, sem ônus adicional para a Administração, observadas as condições contratuais. </w:t>
            </w:r>
          </w:p>
          <w:p w14:paraId="7C91DDC4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e) Requisitos relacionados ao cumprimento do PRAD</w:t>
            </w:r>
          </w:p>
          <w:p w14:paraId="02F5B167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>A execução da obra deverá ser compatibilizada com as demais medidas previstas no Plano de Recuperação de Área Degradada – PRAD, de modo a não prejudicar as etapas posteriores de recomposição ambiental e monitoramento da área.</w:t>
            </w:r>
          </w:p>
          <w:p w14:paraId="26A36003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>A contratada deverá prestar as informações e fornecer os registros necessários à fiscalização municipal e ao responsável técnico pelo PRAD para comprovação da execução dos serviços e do cumprimento das medidas ambientais relacionadas à obra.</w:t>
            </w:r>
          </w:p>
          <w:p w14:paraId="64A71148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f) Capacidade para execução</w:t>
            </w:r>
          </w:p>
          <w:p w14:paraId="784EDEDB" w14:textId="77777777" w:rsidR="006836D6" w:rsidRPr="006836D6" w:rsidRDefault="006836D6" w:rsidP="006836D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 empresa contratada deverá demonstrar, na fase de habilitação,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capacidade jurídica, fiscal, social, trabalhista, econômico-financeira e técnica compatível com o objeto</w:t>
            </w:r>
            <w:r w:rsidRPr="006836D6">
              <w:rPr>
                <w:rFonts w:ascii="Times New Roman" w:hAnsi="Times New Roman" w:cs="Times New Roman"/>
                <w:lang w:val="pt-BR"/>
              </w:rPr>
              <w:t>, nos limites e condições estabelecidos pela Lei nº 14.133/2021 e devidamente justificados no edital.</w:t>
            </w:r>
          </w:p>
          <w:p w14:paraId="4620A215" w14:textId="4A9F5AFC" w:rsidR="002B4569" w:rsidRPr="006836D6" w:rsidRDefault="006836D6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6836D6">
              <w:rPr>
                <w:rFonts w:ascii="Times New Roman" w:hAnsi="Times New Roman" w:cs="Times New Roman"/>
                <w:lang w:val="pt-BR"/>
              </w:rPr>
              <w:t xml:space="preserve">As exigências de qualificação técnica deverão guardar </w:t>
            </w:r>
            <w:r w:rsidRPr="006836D6">
              <w:rPr>
                <w:rFonts w:ascii="Times New Roman" w:hAnsi="Times New Roman" w:cs="Times New Roman"/>
                <w:b/>
                <w:bCs/>
                <w:lang w:val="pt-BR"/>
              </w:rPr>
              <w:t>pertinência e compatibilidade com as características e parcelas de maior relevância ou valor significativo do objeto</w:t>
            </w:r>
            <w:r w:rsidRPr="006836D6">
              <w:rPr>
                <w:rFonts w:ascii="Times New Roman" w:hAnsi="Times New Roman" w:cs="Times New Roman"/>
                <w:lang w:val="pt-BR"/>
              </w:rPr>
              <w:t>, evitando-se requisitos excessivos ou que possam restringir indevidamente a competitividade do certame.</w:t>
            </w:r>
          </w:p>
        </w:tc>
      </w:tr>
      <w:tr w:rsidR="00AA323C" w:rsidRPr="002412B0" w14:paraId="1B0EC243" w14:textId="77777777" w:rsidTr="002412B0">
        <w:trPr>
          <w:gridAfter w:val="1"/>
          <w:wAfter w:w="8" w:type="dxa"/>
        </w:trPr>
        <w:tc>
          <w:tcPr>
            <w:tcW w:w="633" w:type="dxa"/>
          </w:tcPr>
          <w:p w14:paraId="57DEA149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4.</w:t>
            </w:r>
          </w:p>
        </w:tc>
        <w:tc>
          <w:tcPr>
            <w:tcW w:w="9515" w:type="dxa"/>
          </w:tcPr>
          <w:p w14:paraId="12DE5E4A" w14:textId="77777777" w:rsidR="00AA323C" w:rsidRPr="002412B0" w:rsidRDefault="00602A13" w:rsidP="002412B0">
            <w:pPr>
              <w:spacing w:after="0" w:line="240" w:lineRule="auto"/>
              <w:ind w:leftChars="50" w:left="110" w:right="88"/>
              <w:jc w:val="both"/>
              <w:rPr>
                <w:rFonts w:ascii="Times New Roman" w:hAnsi="Times New Roman" w:cs="Times New Roman"/>
                <w:b/>
              </w:rPr>
            </w:pPr>
            <w:r w:rsidRPr="002412B0">
              <w:rPr>
                <w:rFonts w:ascii="Times New Roman" w:hAnsi="Times New Roman" w:cs="Times New Roman"/>
                <w:b/>
              </w:rPr>
              <w:t>Estimativas das quantidades para a contratação, acompanhadas das memórias de cálculo e dos documentos que lhes dão suporte, que considerem interdependências com outras contratações, de modo a possibilitar economia de escala.</w:t>
            </w:r>
          </w:p>
          <w:p w14:paraId="444FA419" w14:textId="353C5753" w:rsidR="00767804" w:rsidRPr="00272B46" w:rsidRDefault="00272B46" w:rsidP="002412B0">
            <w:pPr>
              <w:spacing w:after="0" w:line="240" w:lineRule="auto"/>
              <w:ind w:leftChars="50" w:left="110" w:right="88"/>
              <w:jc w:val="both"/>
              <w:rPr>
                <w:rFonts w:ascii="Times New Roman" w:eastAsia="Arial MT" w:hAnsi="Times New Roman" w:cs="Times New Roman"/>
                <w:bCs/>
                <w:lang w:val="pt-BR"/>
              </w:rPr>
            </w:pPr>
            <w:r w:rsidRPr="00272B46">
              <w:rPr>
                <w:rFonts w:ascii="Times New Roman" w:eastAsia="Arial MT" w:hAnsi="Times New Roman" w:cs="Times New Roman"/>
                <w:bCs/>
                <w:lang w:val="pt-BR"/>
              </w:rPr>
              <w:t xml:space="preserve">A estimativa das quantidades foi elaborada com base nos projetos de engenharia, memorial de cálculo dos quantitativos, planilha orçamentária e demais documentos técnicos que integram o processo, em conformidade com o art. 18, §1º, da Lei nº 14.133/2021. Os quantitativos foram definidos por profissional </w:t>
            </w:r>
            <w:r w:rsidRPr="00272B46">
              <w:rPr>
                <w:rFonts w:ascii="Times New Roman" w:eastAsia="Arial MT" w:hAnsi="Times New Roman" w:cs="Times New Roman"/>
                <w:bCs/>
                <w:lang w:val="pt-BR"/>
              </w:rPr>
              <w:lastRenderedPageBreak/>
              <w:t>legalmente habilitado, mediante levantamento in loco e dimensionamento dos elementos estruturais necessários à execução da obra.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5"/>
              <w:gridCol w:w="5733"/>
              <w:gridCol w:w="1219"/>
              <w:gridCol w:w="1701"/>
            </w:tblGrid>
            <w:tr w:rsidR="008167C8" w:rsidRPr="002412B0" w14:paraId="3EC20931" w14:textId="77777777" w:rsidTr="00DD0C7D">
              <w:trPr>
                <w:tblCellSpacing w:w="15" w:type="dxa"/>
              </w:trPr>
              <w:tc>
                <w:tcPr>
                  <w:tcW w:w="510" w:type="dxa"/>
                  <w:vAlign w:val="center"/>
                  <w:hideMark/>
                </w:tcPr>
                <w:p w14:paraId="6D1B8320" w14:textId="30D09201" w:rsidR="008167C8" w:rsidRPr="002412B0" w:rsidRDefault="00767804" w:rsidP="00241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412B0">
                    <w:rPr>
                      <w:rFonts w:ascii="Times New Roman" w:eastAsia="Times New Roman" w:hAnsi="Times New Roman" w:cs="Times New Roman"/>
                      <w:lang w:eastAsia="pt-BR"/>
                    </w:rPr>
                    <w:t>1</w:t>
                  </w:r>
                </w:p>
              </w:tc>
              <w:tc>
                <w:tcPr>
                  <w:tcW w:w="5703" w:type="dxa"/>
                  <w:vAlign w:val="center"/>
                  <w:hideMark/>
                </w:tcPr>
                <w:p w14:paraId="53824993" w14:textId="3128DCD1" w:rsidR="008167C8" w:rsidRPr="002412B0" w:rsidRDefault="00325623" w:rsidP="00241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412B0">
                    <w:rPr>
                      <w:rFonts w:ascii="Times New Roman" w:eastAsia="Times New Roman" w:hAnsi="Times New Roman" w:cs="Times New Roman"/>
                      <w:lang w:eastAsia="pt-BR"/>
                    </w:rPr>
                    <w:t>muros de contenção em blocos de concreto estrutural e estrutura de concreto armado, com serviços complementares de drenagem pluvial e cercamento, nas Áreas Verdes nº 02 e 03 do Núcleo Residencial COHAB</w:t>
                  </w:r>
                </w:p>
              </w:tc>
              <w:tc>
                <w:tcPr>
                  <w:tcW w:w="1189" w:type="dxa"/>
                  <w:vAlign w:val="center"/>
                  <w:hideMark/>
                </w:tcPr>
                <w:p w14:paraId="484D7C6C" w14:textId="77777777" w:rsidR="008167C8" w:rsidRPr="002412B0" w:rsidRDefault="00DD0C7D" w:rsidP="002412B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412B0">
                    <w:rPr>
                      <w:rFonts w:ascii="Times New Roman" w:eastAsia="Times New Roman" w:hAnsi="Times New Roman" w:cs="Times New Roman"/>
                      <w:lang w:eastAsia="pt-BR"/>
                    </w:rPr>
                    <w:t>1</w:t>
                  </w:r>
                </w:p>
              </w:tc>
              <w:tc>
                <w:tcPr>
                  <w:tcW w:w="1656" w:type="dxa"/>
                  <w:vAlign w:val="center"/>
                  <w:hideMark/>
                </w:tcPr>
                <w:p w14:paraId="5FAB03EA" w14:textId="45990071" w:rsidR="008167C8" w:rsidRPr="002412B0" w:rsidRDefault="00325623" w:rsidP="002412B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2412B0">
                    <w:rPr>
                      <w:rFonts w:ascii="Times New Roman" w:eastAsia="Times New Roman" w:hAnsi="Times New Roman" w:cs="Times New Roman"/>
                      <w:lang w:eastAsia="pt-BR"/>
                    </w:rPr>
                    <w:t>R$ 199.954,12</w:t>
                  </w:r>
                </w:p>
              </w:tc>
            </w:tr>
          </w:tbl>
          <w:p w14:paraId="4CF70D62" w14:textId="77777777" w:rsidR="00272B46" w:rsidRPr="00272B46" w:rsidRDefault="00272B46" w:rsidP="00272B4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Os quantitativos encontram-se integralmente demonstrados no Memorial de Cálculo dos Quantitativos de Serviços, elaborado e assinado digitalmente pelo Engenheiro Civil Juliano Pedro Scandolara – CREA/SC nº 51.858-1, o qual constitui documento técnico integrante do processo e serve de fundamento para a planilha orçamentária.</w:t>
            </w:r>
          </w:p>
          <w:p w14:paraId="3CC945AA" w14:textId="77777777" w:rsidR="00272B46" w:rsidRPr="00272B46" w:rsidRDefault="00272B46" w:rsidP="00272B4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O memorial contempla, entre outros, os seguintes elementos:</w:t>
            </w:r>
          </w:p>
          <w:p w14:paraId="1082552A" w14:textId="77777777" w:rsidR="00272B46" w:rsidRPr="00272B46" w:rsidRDefault="00272B46" w:rsidP="00272B4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Área Verde nº 02: muro de contenção com 102,11 m de extensão e 90,75 m² de alvenaria estrutural, incluindo fundações, vigas baldrame, pilares, blocos estruturais armados e grauteados, sistema de drenagem, guias, sarjetas e cercamento.</w:t>
            </w:r>
          </w:p>
          <w:p w14:paraId="7309EDE4" w14:textId="77777777" w:rsidR="00272B46" w:rsidRPr="00272B46" w:rsidRDefault="00272B46" w:rsidP="00272B4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Área Verde nº 03: muro de contenção com 32,25 m de extensão e 48,37 m² de alvenaria estrutural, compreendendo os mesmos sistemas construtivos, além da rede de drenagem pluvial em tubulação de PVC.</w:t>
            </w:r>
          </w:p>
          <w:p w14:paraId="5EF84886" w14:textId="77777777" w:rsidR="00272B46" w:rsidRPr="00272B46" w:rsidRDefault="00272B46" w:rsidP="00272B46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Quantitativos detalhados de concreto, aço, formas, blocos estruturais, graute, geocomposto drenante, tubos, dispositivos de drenagem, cercamento e demais insumos necessários à execução da obra.</w:t>
            </w:r>
          </w:p>
          <w:p w14:paraId="00FD4B42" w14:textId="77777777" w:rsidR="00272B46" w:rsidRPr="00272B46" w:rsidRDefault="00272B46" w:rsidP="00272B4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Não foram identificadas interdependências com outras contratações em andamento que justifiquem o fracionamento do objeto. As intervenções das Áreas Verdes nº 02 e 03 possuem a mesma finalidade, mesma metodologia executiva, projetos compatíveis e localização próxima, razão pela qual foram reunidas em uma única contratação.</w:t>
            </w:r>
          </w:p>
          <w:p w14:paraId="282E80C5" w14:textId="1C7B3071" w:rsidR="002B4569" w:rsidRPr="00272B46" w:rsidRDefault="00272B46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272B46">
              <w:rPr>
                <w:rFonts w:ascii="Times New Roman" w:hAnsi="Times New Roman" w:cs="Times New Roman"/>
                <w:lang w:val="pt-BR"/>
              </w:rPr>
              <w:t>A execução unificada proporciona economia de escala, com redução de custos indiretos de mobilização e desmobilização de equipe e equipamentos, otimização da logística de materiais, administração única da obra e melhor coordenação do cronograma físico-financeiro, atendendo ao princípio da economicidade previsto na Lei nº 14.133/2021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0C6E3C42" w14:textId="77777777" w:rsidTr="002412B0">
        <w:trPr>
          <w:gridAfter w:val="1"/>
          <w:wAfter w:w="8" w:type="dxa"/>
          <w:trHeight w:val="383"/>
        </w:trPr>
        <w:tc>
          <w:tcPr>
            <w:tcW w:w="633" w:type="dxa"/>
          </w:tcPr>
          <w:p w14:paraId="203F3CC3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5.</w:t>
            </w:r>
          </w:p>
        </w:tc>
        <w:tc>
          <w:tcPr>
            <w:tcW w:w="9515" w:type="dxa"/>
          </w:tcPr>
          <w:p w14:paraId="145C28A0" w14:textId="107D5B13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Levantamento de mercado, que consiste na análise das alternativas possíveis e justificativa técnica e econômica da escolha do tipo de solução a contratar</w:t>
            </w:r>
          </w:p>
          <w:p w14:paraId="2E8F3694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Para a definição da solução a ser contratada, foram analisadas as alternativas disponíveis para atendimento da necessidade administrativa, considerando aspectos técnicos, operacionais, ambientais, econômicos e de gestão contratual.</w:t>
            </w:r>
          </w:p>
          <w:p w14:paraId="472D84F0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análise considerou a natureza dos serviços, as características das Áreas Verdes nº 02 e 03, os documentos técnicos existentes, as condicionantes estabelecidas na Autorização Ambiental – AuA CONDER nº 10.420/2024, o Plano de Recuperação de Área Degradada – PRAD e a necessidade de execução coordenada das intervenções.</w:t>
            </w:r>
          </w:p>
          <w:p w14:paraId="3851B55E" w14:textId="3E23CCB6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Alternativa 1 – Não realizar a contratação</w:t>
            </w:r>
          </w:p>
          <w:p w14:paraId="31A7AA3F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não realização da contratação não se mostra uma alternativa viável, considerando a necessidade de execução das intervenções previstas nos documentos técnicos e ambientais aplicáveis às Áreas Verdes nº 02 e 03.</w:t>
            </w:r>
          </w:p>
          <w:p w14:paraId="083AF73A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ausência das intervenções poderá comprometer o atendimento das condicionantes estabelecidas na Autorização Ambiental – AuA CONDER nº 10.420/2024, além de manter as áreas sujeitas aos problemas que justificaram a necessidade da obra, especialmente processos erosivos e instabilidade do solo.</w:t>
            </w:r>
          </w:p>
          <w:p w14:paraId="592B125C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não execução também poderá prejudicar o cumprimento das medidas previstas no Plano de Recuperação de Área Degradada – PRAD e das obrigações assumidas pelo Município perante o órgão ambiental competente, sem prejuízo das eventuais consequências administrativas, ambientais e jurídicas decorrentes do descumprimento das obrigações aplicáveis.</w:t>
            </w:r>
          </w:p>
          <w:p w14:paraId="646C264A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 xml:space="preserve">Dessa forma, a manutenção da situação atual não atende ao interesse público e não constitui solução </w:t>
            </w:r>
            <w:r w:rsidRPr="004170CC">
              <w:rPr>
                <w:rFonts w:ascii="Times New Roman" w:hAnsi="Times New Roman" w:cs="Times New Roman"/>
                <w:lang w:val="pt-BR"/>
              </w:rPr>
              <w:lastRenderedPageBreak/>
              <w:t>adequada para a necessidade identificada.</w:t>
            </w:r>
          </w:p>
          <w:p w14:paraId="2405E10B" w14:textId="314BA5C9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Alternativa 2 – Execução direta pela Administração</w:t>
            </w:r>
          </w:p>
          <w:p w14:paraId="109715A7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execução direta da obra pelo Município exigiria a disponibilidade de equipe técnica, mão de obra especializada, equipamentos, máquinas, ferramentas, materiais, insumos, estrutura de apoio e mecanismos de controle tecnológico compatíveis com a execução de serviços de fundação, contenção, estruturas de concreto armado, drenagem e demais intervenções previstas.</w:t>
            </w:r>
          </w:p>
          <w:p w14:paraId="0F26530E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Considerando a natureza especializada dos serviços e a necessidade de execução dentro do prazo estabelecido no planejamento da contratação e das obrigações ambientais aplicáveis, a execução direta demandaria significativa mobilização de recursos humanos, materiais e operacionais pelo Município.</w:t>
            </w:r>
          </w:p>
          <w:p w14:paraId="4C4CFA14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Diante dessas circunstâncias, a execução direta não se apresenta como a alternativa mais eficiente e econômica, especialmente diante da existência de empresas especializadas no mercado capazes de executar integralmente o objeto com os recursos e conhecimentos técnicos necessários.</w:t>
            </w:r>
          </w:p>
          <w:p w14:paraId="4022C1BC" w14:textId="3FFB9338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Alternativa 3 – Parcelamento da contratação por área verde</w:t>
            </w:r>
          </w:p>
          <w:p w14:paraId="106F156D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Foi considerada a possibilidade de realização de contratações distintas para as Áreas Verdes nº 02 e 03, permitindo que cada área fosse executada por empresa diferente.</w:t>
            </w:r>
          </w:p>
          <w:p w14:paraId="1095BF0E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Embora essa alternativa pudesse, em determinadas circunstâncias, ampliar o universo potencial de participantes, sua adoção não se mostra a mais adequada para o presente objeto.</w:t>
            </w:r>
          </w:p>
          <w:p w14:paraId="5BCF485D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As duas áreas integram o mesmo Plano de Recuperação de Área Degradada – PRAD e estão abrangidas pela mesma Autorização Ambiental – AuA CONDER nº 10.420/2024, além de possuírem documentos técnicos e planejamento físico-financeiro integrados.</w:t>
            </w:r>
          </w:p>
          <w:p w14:paraId="3A17EE2E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Conforme os documentos técnicos da obra, existem serviços iniciais, estrutura de apoio, mobilização, equipamentos, mão de obra e logística que podem ser compartilhados entre as duas áreas. A realização de contratações independentes poderia ocasionar duplicidade de custos indiretos, necessidade de mobilizações distintas e maior complexidade na coordenação, fiscalização e gerenciamento das intervenções.</w:t>
            </w:r>
          </w:p>
          <w:p w14:paraId="43191EBF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Além disso, a execução por empresas distintas poderia aumentar as interfaces de responsabilidade técnica e administrativa, exigindo maior esforço da fiscalização municipal para compatibilizar cronogramas, métodos executivos e obrigações relacionadas ao cumprimento das condicionantes ambientais.</w:t>
            </w:r>
          </w:p>
          <w:p w14:paraId="35BD5C87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Dessa forma, diante das características específicas da solução, não foi identificada vantagem técnica ou econômica suficiente que justifique o parcelamento da contratação por área verde.</w:t>
            </w:r>
          </w:p>
          <w:p w14:paraId="3C938A66" w14:textId="61EC440D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Alternativa 4 – Contratação de empresa especializada para execução global do objeto</w:t>
            </w:r>
          </w:p>
          <w:p w14:paraId="03313F5A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 xml:space="preserve">Esta alternativa consiste na contratação de uma única empresa especializada para executar integralmente os serviços previstos para as Áreas Verdes nº 02 e 03, mediante </w:t>
            </w:r>
            <w:r w:rsidRPr="004170CC">
              <w:rPr>
                <w:rFonts w:ascii="Times New Roman" w:hAnsi="Times New Roman" w:cs="Times New Roman"/>
                <w:b/>
                <w:bCs/>
                <w:lang w:val="pt-BR"/>
              </w:rPr>
              <w:t>objeto único e julgamento pelo menor preço global</w:t>
            </w:r>
            <w:r w:rsidRPr="004170CC">
              <w:rPr>
                <w:rFonts w:ascii="Times New Roman" w:hAnsi="Times New Roman" w:cs="Times New Roman"/>
                <w:lang w:val="pt-BR"/>
              </w:rPr>
              <w:t>.</w:t>
            </w:r>
          </w:p>
          <w:p w14:paraId="13582070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alternativa mostra-se a mais adequada em razão da integração existente entre os serviços, da necessidade de coordenação das diferentes etapas construtivas, da possibilidade de compartilhamento de estrutura e recursos e da necessidade de concentrar em uma única contratada a responsabilidade pela execução integral da solução.</w:t>
            </w:r>
          </w:p>
          <w:p w14:paraId="36E119C5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contratação global:</w:t>
            </w:r>
          </w:p>
          <w:p w14:paraId="74A66411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preserva a unidade técnica e operacional da solução de engenharia;</w:t>
            </w:r>
          </w:p>
          <w:p w14:paraId="2E59E7A6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permite a coordenação das diferentes etapas da obra sob uma única responsabilidade técnica;</w:t>
            </w:r>
          </w:p>
          <w:p w14:paraId="4A188E5D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possibilita o compartilhamento de equipamentos, mão de obra, canteiro, transporte e demais recursos de apoio entre as duas áreas;</w:t>
            </w:r>
          </w:p>
          <w:p w14:paraId="2B1A756E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reduz a possibilidade de duplicidade de custos indiretos relacionados à mobilização, desmobilização, administração e estrutura de apoio;</w:t>
            </w:r>
          </w:p>
          <w:p w14:paraId="3117C92A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facilita o acompanhamento, a fiscalização e a medição dos serviços pela Administração;</w:t>
            </w:r>
          </w:p>
          <w:p w14:paraId="788D1FAE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reduz as interfaces entre diferentes empresas e os riscos de conflitos quanto à responsabilidade pela execução;</w:t>
            </w:r>
          </w:p>
          <w:p w14:paraId="590544BB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favorece o cumprimento coordenado das medidas previstas no PRAD e das condicionantes ambientais aplicáveis;</w:t>
            </w:r>
          </w:p>
          <w:p w14:paraId="3A2A90C7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lastRenderedPageBreak/>
              <w:t>mantém a padronização dos métodos e procedimentos executivos, quando tecnicamente pertinente; e</w:t>
            </w:r>
          </w:p>
          <w:p w14:paraId="0E00E9C7" w14:textId="77777777" w:rsidR="004170CC" w:rsidRPr="004170CC" w:rsidRDefault="004170CC" w:rsidP="004170CC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proporciona maior eficiência na gestão e no acompanhamento da execução contratual.</w:t>
            </w:r>
          </w:p>
          <w:p w14:paraId="541535B5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contratação será estruturada de modo a preservar a competitividade do certame, mediante definição objetiva das especificações, quantitativos, critérios de medição e demais condições de execução, sem estabelecimento de exigências que restrinjam indevidamente a participação de empresas potencialmente aptas a executar o objeto.</w:t>
            </w:r>
          </w:p>
          <w:p w14:paraId="2129F697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Diante das alternativas analisadas, conclui-se que a solução mais adequada consiste na contratação de empresa especializada em obras e serviços de engenharia para execução global dos serviços de construção dos muros de contenção, estruturas de concreto armado, drenagem pluvial, cercamento e demais serviços previstos para as Áreas Verdes nº 02 e 03.</w:t>
            </w:r>
          </w:p>
          <w:p w14:paraId="61E5B70D" w14:textId="77777777" w:rsidR="004170CC" w:rsidRPr="004170CC" w:rsidRDefault="004170CC" w:rsidP="004170C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solução será contratada em objeto único, com adoção do critério de julgamento de menor preço global, considerando a integração técnica e operacional dos serviços, a possibilidade de compartilhamento de recursos e estrutura de execução, a redução de custos indiretos e a maior eficiência na fiscalização e no gerenciamento contratual.</w:t>
            </w:r>
          </w:p>
          <w:p w14:paraId="45C0B1B5" w14:textId="3A9E31E0" w:rsidR="002B4569" w:rsidRPr="004170CC" w:rsidRDefault="004170CC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170CC">
              <w:rPr>
                <w:rFonts w:ascii="Times New Roman" w:hAnsi="Times New Roman" w:cs="Times New Roman"/>
                <w:lang w:val="pt-BR"/>
              </w:rPr>
              <w:t>A alternativa selecionada apresenta-se, portanto, como a que melhor concilia viabilidade técnica, economicidade, eficiência administrativa, controle da execução, atendimento das obrigações ambientais e interesse público, constituindo solução adequada para o atendimento da necessidade identificada pelo Município.</w:t>
            </w:r>
          </w:p>
        </w:tc>
      </w:tr>
      <w:tr w:rsidR="00AA323C" w:rsidRPr="002412B0" w14:paraId="74612152" w14:textId="77777777" w:rsidTr="002412B0">
        <w:trPr>
          <w:gridAfter w:val="1"/>
          <w:wAfter w:w="8" w:type="dxa"/>
          <w:trHeight w:val="383"/>
        </w:trPr>
        <w:tc>
          <w:tcPr>
            <w:tcW w:w="633" w:type="dxa"/>
          </w:tcPr>
          <w:p w14:paraId="7C0A58BC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6.</w:t>
            </w:r>
          </w:p>
        </w:tc>
        <w:tc>
          <w:tcPr>
            <w:tcW w:w="9515" w:type="dxa"/>
          </w:tcPr>
          <w:p w14:paraId="33FB1D4F" w14:textId="77777777" w:rsidR="00AA323C" w:rsidRPr="002412B0" w:rsidRDefault="00602A13" w:rsidP="002412B0">
            <w:pPr>
              <w:spacing w:after="0" w:line="240" w:lineRule="auto"/>
              <w:ind w:leftChars="50" w:left="110" w:rightChars="40" w:right="88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Em relação ao formato da licitação</w:t>
            </w:r>
          </w:p>
          <w:p w14:paraId="14463F45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Em relação ao Processo Licitatório:</w:t>
            </w:r>
          </w:p>
          <w:p w14:paraId="65F5EA18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b/>
                <w:bCs/>
                <w:lang w:val="pt-BR"/>
              </w:rPr>
              <w:t>Modalidade: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CONCORRÊNCIA, na forma ELETRÔNICA, nos termos da Lei Federal nº 14.133/2021, considerando que o objeto se caracteriza como obra de engenharia e que a contratação deverá observar o procedimento licitatório compatível com sua natureza, complexidade e características técnicas.</w:t>
            </w:r>
          </w:p>
          <w:p w14:paraId="2622851E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b/>
                <w:bCs/>
                <w:lang w:val="pt-BR"/>
              </w:rPr>
              <w:t>Critério de julgamento: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MENOR PREÇO GLOBAL, considerando a necessidade de contratação integrada dos serviços que compõem o objeto, os quais apresentam interdependência técnica e operacional para a adequada execução da obra. A adoção do julgamento pelo menor preço global permite à Administração avaliar a proposta considerando o conjunto integral dos serviços necessários à execução do objeto, evitando a fragmentação da contratação e possíveis incompatibilidades na execução.</w:t>
            </w:r>
          </w:p>
          <w:p w14:paraId="1559A70B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opção pelo julgamento global encontra-se fundamentada na necessidade de que os serviços sejam executados de forma coordenada e compatível entre si, sob responsabilidade de uma única contratada, proporcionando maior eficiência na fiscalização, no gerenciamento da execução, na compatibilização das etapas e na responsabilização pela entrega do objeto concluído.</w:t>
            </w:r>
          </w:p>
          <w:p w14:paraId="2B6A0DFD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b/>
                <w:bCs/>
                <w:lang w:val="pt-BR"/>
              </w:rPr>
              <w:t>Regime de execução: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EMPREITADA POR PREÇO UNITÁRIO, nos termos do art. 6º, inciso XXVIII, da Lei Federal nº 14.133/2021, considerando que os serviços que compõem a obra podem ser adequadamente definidos e mensurados por unidades de medida, permitindo que os pagamentos sejam realizados de acordo com os quantitativos efetivamente executados e medidos pela fiscalização.</w:t>
            </w:r>
          </w:p>
          <w:p w14:paraId="1EA77735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adoção do regime de empreitada por preço unitário mostra-se adequada especialmente em razão da possibilidade de ocorrência de variações nos quantitativos efetivamente executados em campo, próprias da natureza dos serviços previstos, possibilitando maior precisão nas medições e no acompanhamento da execução contratual, sem prejuízo da observância dos quantitativos e valores unitários constantes da planilha orçamentária.</w:t>
            </w:r>
          </w:p>
          <w:p w14:paraId="1994ECFF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b/>
                <w:bCs/>
                <w:lang w:val="pt-BR"/>
              </w:rPr>
              <w:t>Prazo de execução: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até 04 (quatro) meses, conforme cronograma físico-financeiro integrante do orçamento da contratação, contemplando as etapas necessárias à execução integral do objeto, incluindo, conforme aplicável, serviços preliminares, fundações, estrutura, execução de muro de arrimo em blocos de concreto, drenagem pluvial, cercamento e demais serviços previstos nos projetos, memoriais, planilhas orçamentárias e demais documentos técnicos da contratação.</w:t>
            </w:r>
          </w:p>
          <w:p w14:paraId="29F9EF61" w14:textId="2AF31C1B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 xml:space="preserve">A execução deverá observar rigorosamente o cronograma físico-financeiro, as especificações técnicas, os projetos e as orientações da fiscalização, devendo a contratada manter condições adequadas de planejamento </w:t>
            </w:r>
            <w:r w:rsidRPr="00163821">
              <w:rPr>
                <w:rFonts w:ascii="Times New Roman" w:hAnsi="Times New Roman" w:cs="Times New Roman"/>
                <w:lang w:val="pt-BR"/>
              </w:rPr>
              <w:lastRenderedPageBreak/>
              <w:t>e mobilização para assegurar a conclusão do objeto dentro do prazo estabelecido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5187FACE" w14:textId="77777777" w:rsidTr="002412B0">
        <w:trPr>
          <w:gridAfter w:val="1"/>
          <w:wAfter w:w="8" w:type="dxa"/>
          <w:trHeight w:val="383"/>
        </w:trPr>
        <w:tc>
          <w:tcPr>
            <w:tcW w:w="633" w:type="dxa"/>
          </w:tcPr>
          <w:p w14:paraId="4D4832C3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7.</w:t>
            </w:r>
          </w:p>
        </w:tc>
        <w:tc>
          <w:tcPr>
            <w:tcW w:w="9515" w:type="dxa"/>
          </w:tcPr>
          <w:p w14:paraId="65D032F0" w14:textId="77777777" w:rsidR="00AA323C" w:rsidRPr="002412B0" w:rsidRDefault="00602A13" w:rsidP="002412B0">
            <w:pPr>
              <w:spacing w:after="0" w:line="240" w:lineRule="auto"/>
              <w:ind w:leftChars="50" w:left="110" w:right="193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Descrição da solução como um todo</w:t>
            </w:r>
          </w:p>
          <w:p w14:paraId="1D2CBE09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solução proposta consiste na contratação de empresa especializada em obras e serviços de engenharia para a execução global da construção de muros de contenção em blocos de concreto estrutural e estrutura de concreto armado, com serviços complementares de drenagem pluvial e cercamento, nas Áreas Verdes nº 02 e 03 do Núcleo Residencial COHAB, Bairro Nossa Senhora do Rosário, no Município de Palmitos/SC, em atendimento às condicionantes estabelecidas na Autorização Ambiental CONDER nº 10.420/2024.</w:t>
            </w:r>
          </w:p>
          <w:p w14:paraId="588316A4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execução deverá ocorrer de acordo com os projetos e documentos técnicos que instruirão o procedimento licitatório, especialmente o memorial de cálculo, o projeto estrutural, o projeto de drenagem, a planilha orçamentária, o cronograma físico-financeiro e demais documentos pertinentes ao objeto.</w:t>
            </w:r>
          </w:p>
          <w:p w14:paraId="38087456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contratação abrangerá, conforme especificações e quantitativos constantes dos documentos técnicos, os seguintes grupos de serviços, para as respectivas áreas verdes:</w:t>
            </w:r>
          </w:p>
          <w:p w14:paraId="3763CA27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Serviços iniciais: placa de obra, canteiro de obras/abrigo de materiais e locação da obra;</w:t>
            </w:r>
          </w:p>
          <w:p w14:paraId="0A4F1BE1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Fundações: escavação mecanizada, reaterro, execução de sapatas, incluindo lastro, formas, armação e concretagem, bem como execução de vigas baldrame;</w:t>
            </w:r>
          </w:p>
          <w:p w14:paraId="17ED34D2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Estrutura: execução de pilares e colarinhos em concreto armado, compreendendo armação, formas e concretagem;</w:t>
            </w:r>
          </w:p>
          <w:p w14:paraId="02102AF8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Muro de arrimo em blocos de concreto estrutural: execução de alvenaria estrutural, armação de cintas e elementos verticais, bem como grauteamento superior, intermediário e vertical, conforme projeto estrutural;</w:t>
            </w:r>
          </w:p>
          <w:p w14:paraId="414D14EE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Drenagem pluvial: execução de dreno no pé do muro, instalação de geocomposto drenante, execução de guias e sarjetas conjugadas, instalação de tubulações de PVC e respectivas peças de conexão, conforme projeto de drenagem;</w:t>
            </w:r>
          </w:p>
          <w:p w14:paraId="4528C814" w14:textId="77777777" w:rsidR="00163821" w:rsidRPr="00163821" w:rsidRDefault="00163821" w:rsidP="0016382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Cercamento das áreas: execução de cerca com mourões de concreto, alvenaria de blocos estruturais e grauteamento vertical complementar, conforme especificações do projeto.</w:t>
            </w:r>
          </w:p>
          <w:p w14:paraId="48907B09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contratada será responsável pelo fornecimento de todos os materiais, mão de obra, equipamentos, ferramentas, transporte, insumos, controle tecnológico e demais recursos necessários à execução integral do objeto, devendo observar rigorosamente os projetos, memoriais, especificações técnicas, planilha orçamentária, cronograma físico-financeiro e demais documentos integrantes da contratação.</w:t>
            </w:r>
          </w:p>
          <w:p w14:paraId="69CCE4F4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execução deverá ainda observar as determinações da fiscalização municipal e as condicionantes estabelecidas na Autorização Ambiental CONDER nº 10.420/2024, bem como as demais normas técnicas e ambientais aplicáveis ao objeto.</w:t>
            </w:r>
          </w:p>
          <w:p w14:paraId="747858ED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solução busca proporcionar a adequada estabilização do solo nas Áreas Verdes nº 02 e 03, contribuindo para a contenção de processos erosivos, o adequado direcionamento e escoamento das águas pluviais, a proteção das estruturas executadas e a posterior implantação da vegetação nativa e das demais medidas de recuperação previstas no Plano de Recuperação de Área Degradada – PRAD.</w:t>
            </w:r>
          </w:p>
          <w:p w14:paraId="47F878B4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Com a execução integral dos serviços previstos, pretende-se atender às necessidades de engenharia identificadas para as áreas, contribuindo para o cumprimento das condicionantes ambientais aplicáveis e para a recuperação e adequação das áreas objeto da intervenção, observadas as demais exigências e determinações do órgão ambiental competente.</w:t>
            </w:r>
          </w:p>
          <w:p w14:paraId="2B936B4C" w14:textId="33B6B52F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Os detalhes técnicos da obra encontram-se nos documentos que integrarão o processo de contratação, especialmente no memorial de cálculo, projeto estrutural, projeto de drenagem, planilha orçamentária e cronograma físico-financeiro, os quais deverão ser observados integralmente pela futura contratada</w:t>
            </w:r>
            <w:r w:rsidR="00767804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5F3CA358" w14:textId="77777777" w:rsidTr="002412B0">
        <w:trPr>
          <w:gridAfter w:val="1"/>
          <w:wAfter w:w="8" w:type="dxa"/>
          <w:trHeight w:val="383"/>
        </w:trPr>
        <w:tc>
          <w:tcPr>
            <w:tcW w:w="633" w:type="dxa"/>
          </w:tcPr>
          <w:p w14:paraId="68AD9384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8.</w:t>
            </w:r>
          </w:p>
        </w:tc>
        <w:tc>
          <w:tcPr>
            <w:tcW w:w="9515" w:type="dxa"/>
          </w:tcPr>
          <w:p w14:paraId="66011142" w14:textId="77777777" w:rsidR="00AA323C" w:rsidRPr="002412B0" w:rsidRDefault="00602A13" w:rsidP="00163821">
            <w:pPr>
              <w:spacing w:after="0" w:line="240" w:lineRule="auto"/>
              <w:ind w:right="193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Justificativa não parcelamento da solução</w:t>
            </w:r>
          </w:p>
          <w:p w14:paraId="778F2A92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A análise quanto ao parcelamento do objeto foi realizada em observância ao disposto no art. 18, § 1º, inciso VIII, da Lei Federal nº 14.133/2021, considerando os aspectos técnicos, operacionais e econômicos envolvidos na execução da obra.</w:t>
            </w:r>
          </w:p>
          <w:p w14:paraId="4A6113CE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 xml:space="preserve">O objeto compreende a execução das intervenções previstas para as </w:t>
            </w:r>
            <w:r w:rsidRPr="00163821">
              <w:rPr>
                <w:rFonts w:ascii="Times New Roman" w:hAnsi="Times New Roman" w:cs="Times New Roman"/>
                <w:b/>
                <w:bCs/>
              </w:rPr>
              <w:t>Áreas Verdes nº 02 e 03</w:t>
            </w:r>
            <w:r w:rsidRPr="00163821">
              <w:rPr>
                <w:rFonts w:ascii="Times New Roman" w:hAnsi="Times New Roman" w:cs="Times New Roman"/>
              </w:rPr>
              <w:t xml:space="preserve">, integrantes </w:t>
            </w:r>
            <w:r w:rsidRPr="00163821">
              <w:rPr>
                <w:rFonts w:ascii="Times New Roman" w:hAnsi="Times New Roman" w:cs="Times New Roman"/>
              </w:rPr>
              <w:lastRenderedPageBreak/>
              <w:t>do mesmo Plano de Recuperação de Área Degradada – PRAD e submetidas às condicionantes estabelecidas na Autorização Ambiental – AuA CONDER nº 10.420/2024.</w:t>
            </w:r>
          </w:p>
          <w:p w14:paraId="0941ADEA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Embora as intervenções estejam localizadas em dois trechos distintos, os serviços possuem finalidade comum e apresentam relação técnica e operacional, abrangendo estruturas de contenção, fundações, estruturas de concreto, drenagem pluvial e serviços complementares necessários à adequada estabilização, proteção e recuperação das áreas.</w:t>
            </w:r>
          </w:p>
          <w:p w14:paraId="37B9A8F3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Após análise da solução de engenharia, conclui-se que o parcelamento da contratação em contratações independentes não se mostra técnica e economicamente vantajoso para a Administração, pelos seguintes fundamentos:</w:t>
            </w:r>
          </w:p>
          <w:p w14:paraId="68933BEE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Integração técnica dos serviços:</w:t>
            </w:r>
            <w:r w:rsidRPr="00163821">
              <w:rPr>
                <w:rFonts w:ascii="Times New Roman" w:hAnsi="Times New Roman" w:cs="Times New Roman"/>
              </w:rPr>
              <w:t xml:space="preserve"> os muros de contenção, fundações, estruturas de concreto, drenagem pluvial, cercamento e demais serviços complementares integram uma única solução de engenharia, cuja execução exige compatibilização entre as diferentes etapas construtivas. A execução coordenada por uma única empresa reduz o risco de incompatibilidades, falhas de interface e dificuldades na definição de responsabilidades técnicas;</w:t>
            </w:r>
          </w:p>
          <w:p w14:paraId="736F0880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Compartilhamento da estrutura de execução:</w:t>
            </w:r>
            <w:r w:rsidRPr="00163821">
              <w:rPr>
                <w:rFonts w:ascii="Times New Roman" w:hAnsi="Times New Roman" w:cs="Times New Roman"/>
              </w:rPr>
              <w:t xml:space="preserve"> os serviços iniciais, mobilização, instalação e administração do canteiro, equipamentos, mão de obra, transporte e logística poderão ser utilizados conjuntamente nas duas áreas. A divisão da contratação poderia exigir a duplicação ou ampliação de estruturas e recursos de apoio, elevando os custos indiretos da obra;</w:t>
            </w:r>
          </w:p>
          <w:p w14:paraId="05A61E0D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Redução de custos indiretos:</w:t>
            </w:r>
            <w:r w:rsidRPr="00163821">
              <w:rPr>
                <w:rFonts w:ascii="Times New Roman" w:hAnsi="Times New Roman" w:cs="Times New Roman"/>
              </w:rPr>
              <w:t xml:space="preserve"> a execução por uma única contratada possibilita racionalizar despesas relacionadas à mobilização e desmobilização de equipamentos, administração local, instalação e manutenção do canteiro, transporte de materiais e gerenciamento da execução, favorecendo a economicidade da contratação;</w:t>
            </w:r>
          </w:p>
          <w:p w14:paraId="50DB7C76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Maior eficiência na fiscalização:</w:t>
            </w:r>
            <w:r w:rsidRPr="00163821">
              <w:rPr>
                <w:rFonts w:ascii="Times New Roman" w:hAnsi="Times New Roman" w:cs="Times New Roman"/>
              </w:rPr>
              <w:t xml:space="preserve"> a existência de uma única contratada e de um único responsável pela coordenação da execução facilita o acompanhamento e a fiscalização pela Administração, permitindo maior uniformidade dos procedimentos construtivos e melhor controle das interfaces entre os serviços;</w:t>
            </w:r>
          </w:p>
          <w:p w14:paraId="0F42AD5C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Responsabilidade técnica unificada:</w:t>
            </w:r>
            <w:r w:rsidRPr="00163821">
              <w:rPr>
                <w:rFonts w:ascii="Times New Roman" w:hAnsi="Times New Roman" w:cs="Times New Roman"/>
              </w:rPr>
              <w:t xml:space="preserve"> a execução conjunta permite concentrar em uma única contratada a responsabilidade pela compatibilização e adequada execução dos serviços, reduzindo a possibilidade de conflitos entre empresas distintas quanto à responsabilidade por eventuais falhas, incompatibilidades ou danos decorrentes da execução;</w:t>
            </w:r>
          </w:p>
          <w:p w14:paraId="0C016AE2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Cumprimento coordenado das obrigações ambientais:</w:t>
            </w:r>
            <w:r w:rsidRPr="00163821">
              <w:rPr>
                <w:rFonts w:ascii="Times New Roman" w:hAnsi="Times New Roman" w:cs="Times New Roman"/>
              </w:rPr>
              <w:t xml:space="preserve"> a execução conjunta das intervenções permite estabelecer uma programação única para as medidas previstas no PRAD e para o atendimento das condicionantes ambientais aplicáveis, reduzindo o risco de execução parcial ou desarticulada das intervenções necessárias;</w:t>
            </w:r>
          </w:p>
          <w:p w14:paraId="2D6E0604" w14:textId="77777777" w:rsidR="00163821" w:rsidRPr="00163821" w:rsidRDefault="00163821" w:rsidP="0016382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  <w:b/>
                <w:bCs/>
              </w:rPr>
              <w:t>Ausência de vantagem econômica suficiente com o parcelamento:</w:t>
            </w:r>
            <w:r w:rsidRPr="00163821">
              <w:rPr>
                <w:rFonts w:ascii="Times New Roman" w:hAnsi="Times New Roman" w:cs="Times New Roman"/>
              </w:rPr>
              <w:t xml:space="preserve"> considerando a natureza dos serviços, a possibilidade de compartilhamento de equipamentos, mão de obra, canteiro, transporte e demais recursos de apoio, não foi identificada vantagem econômica suficiente que justifique a realização de contratações independentes.</w:t>
            </w:r>
          </w:p>
          <w:p w14:paraId="70E99DD8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Ressalta-se que o não parcelamento não decorre exclusivamente da existência de uma única Autorização Ambiental ou da elaboração conjunta do orçamento, mas da análise da própria solução de engenharia, que demonstra a existência de relação técnica e operacional entre os serviços, bem como a possibilidade de racionalização de custos indiretos mediante execução coordenada.</w:t>
            </w:r>
          </w:p>
          <w:p w14:paraId="4D5951DE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A contratação conjunta também proporciona maior eficiência no planejamento, na fiscalização e no gerenciamento da obra, além de concentrar a responsabilidade pela execução integral da solução em uma única contratada.</w:t>
            </w:r>
          </w:p>
          <w:p w14:paraId="76A688C9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t>Dessa forma, considerando as características técnicas da obra, a necessidade de compatibilização entre as etapas construtivas, a possibilidade de compartilhamento de estrutura e recursos, a redução de custos indiretos, a facilidade de fiscalização e a necessidade de execução coordenada das intervenções, conclui-se que a contratação em objeto único é a alternativa que melhor atende ao interesse público.</w:t>
            </w:r>
          </w:p>
          <w:p w14:paraId="4890348B" w14:textId="6ABE6434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3821">
              <w:rPr>
                <w:rFonts w:ascii="Times New Roman" w:hAnsi="Times New Roman" w:cs="Times New Roman"/>
              </w:rPr>
              <w:lastRenderedPageBreak/>
              <w:t>Assim, o objeto será licitado de forma global, adotando-se o critério de julgamento de menor preço global, observadas integralmente as especificações técnicas, os projetos, a planilha orçamentária, o cronograma físico-financeiro e os demais documentos que integrarão a contratação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7880489D" w14:textId="77777777" w:rsidTr="002412B0">
        <w:trPr>
          <w:gridAfter w:val="1"/>
          <w:wAfter w:w="8" w:type="dxa"/>
        </w:trPr>
        <w:tc>
          <w:tcPr>
            <w:tcW w:w="633" w:type="dxa"/>
          </w:tcPr>
          <w:p w14:paraId="3453418F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9.</w:t>
            </w:r>
          </w:p>
        </w:tc>
        <w:tc>
          <w:tcPr>
            <w:tcW w:w="9515" w:type="dxa"/>
          </w:tcPr>
          <w:p w14:paraId="7906D593" w14:textId="77777777" w:rsidR="00AA323C" w:rsidRPr="002412B0" w:rsidRDefault="00602A13" w:rsidP="002412B0">
            <w:pPr>
              <w:spacing w:after="0" w:line="240" w:lineRule="auto"/>
              <w:ind w:leftChars="50" w:left="110" w:right="88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licitação.</w:t>
            </w:r>
          </w:p>
          <w:p w14:paraId="2A2134AD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Com base na planilha orçamentária elaborada para fins de licitação, denominada “Orçamento – Muro AV. 2 e 3 – PRAD, R.05”, considerando o BDI de 21,38%, a estimativa do valor da contratação é de R$ 199.954,12 (cento e noventa e nove mil, novecentos e cinquenta e quatro reais e doze centavos).</w:t>
            </w:r>
          </w:p>
          <w:p w14:paraId="56EEA10F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Para fins de composição e demonstração do orçamento, o valor estimado encontra-se discriminado da seguinte forma:</w:t>
            </w:r>
          </w:p>
          <w:p w14:paraId="1BA5943B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a) Por área verde:</w:t>
            </w:r>
          </w:p>
          <w:p w14:paraId="3A345A13" w14:textId="77777777" w:rsidR="00EE390A" w:rsidRPr="00EE390A" w:rsidRDefault="00EE390A" w:rsidP="00EE390A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Muro de Contenção – Área Verde nº 02 (Rua D. Pedro I): R$ 147.807,09;</w:t>
            </w:r>
          </w:p>
          <w:p w14:paraId="05705F0D" w14:textId="77777777" w:rsidR="00EE390A" w:rsidRPr="00EE390A" w:rsidRDefault="00EE390A" w:rsidP="00EE390A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Muro de Contenção – Área Verde nº 03 (Rua 13 de Maio, esquina com Rua D. Pedro I): R$ 52.147,03.</w:t>
            </w:r>
          </w:p>
          <w:p w14:paraId="7B343747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Valor total estimado da contratação: R$ 199.954,12 (cento e noventa e nove mil, novecentos e cinquenta e quatro reais e doze centavos).</w:t>
            </w:r>
          </w:p>
          <w:p w14:paraId="1D39A165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O orçamento de referência foi elaborado com fundamento no memorial de cálculo técnico e nos demais documentos de engenharia integrantes do planejamento da contratação, subscritos pelo profissional responsável, Engenheiro Civil, CREA-SC nº 51.858-1, contemplando a discriminação dos quantitativos e dos custos unitários dos serviços necessários à execução do objeto, bem como a aplicação do BDI de 21,38%.</w:t>
            </w:r>
          </w:p>
          <w:p w14:paraId="46F16A3F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A planilha orçamentária, o memorial de cálculo, os projetos e os demais documentos técnicos constituem os elementos de suporte à formação do valor estimado da contratação e deverão integrar o processo licitatório, observadas as disposições da Lei Federal nº 14.133/2021 e demais normas aplicáveis à elaboração de orçamentos de obras e serviços de engenharia.</w:t>
            </w:r>
          </w:p>
          <w:p w14:paraId="3685C276" w14:textId="77777777" w:rsidR="00EE390A" w:rsidRPr="00EE390A" w:rsidRDefault="00EE390A" w:rsidP="00EE390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A discriminação dos valores por área verde e por etapa construtiva possui finalidade exclusivamente orçamentária, técnica, de controle, fiscalização, medição e acompanhamento do cronograma físico-financeiro, não representando divisão do objeto para fins de julgamento ou adjudicação.</w:t>
            </w:r>
          </w:p>
          <w:p w14:paraId="54EF3991" w14:textId="0AAF0FA1" w:rsidR="002B4569" w:rsidRPr="00EE390A" w:rsidRDefault="00EE390A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EE390A">
              <w:rPr>
                <w:rFonts w:ascii="Times New Roman" w:hAnsi="Times New Roman" w:cs="Times New Roman"/>
                <w:lang w:val="pt-BR"/>
              </w:rPr>
              <w:t>A contratação será realizada em objeto único, com critério de julgamento pelo menor preço global, conforme justificativas apresentadas neste Estudo Técnico Preliminar, especialmente quanto à integração técnica e operacional das intervenções nas Áreas Verdes nº 02 e 03 e à conveniência de execução coordenada dos serviços por uma única contratada.</w:t>
            </w:r>
          </w:p>
        </w:tc>
      </w:tr>
      <w:tr w:rsidR="00AA323C" w:rsidRPr="002412B0" w14:paraId="2FF91C86" w14:textId="77777777" w:rsidTr="002412B0">
        <w:trPr>
          <w:gridAfter w:val="1"/>
          <w:wAfter w:w="8" w:type="dxa"/>
          <w:trHeight w:val="132"/>
        </w:trPr>
        <w:tc>
          <w:tcPr>
            <w:tcW w:w="633" w:type="dxa"/>
          </w:tcPr>
          <w:p w14:paraId="6C6EA02D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  <w:bCs/>
              </w:rPr>
            </w:pPr>
            <w:r w:rsidRPr="002412B0">
              <w:rPr>
                <w:rFonts w:ascii="Times New Roman" w:eastAsia="Arial MT" w:hAnsi="Times New Roman" w:cs="Times New Roman"/>
                <w:b/>
                <w:bCs/>
              </w:rPr>
              <w:t>10.</w:t>
            </w:r>
          </w:p>
        </w:tc>
        <w:tc>
          <w:tcPr>
            <w:tcW w:w="9515" w:type="dxa"/>
          </w:tcPr>
          <w:p w14:paraId="6B03C2F9" w14:textId="77777777" w:rsidR="00AA323C" w:rsidRPr="002412B0" w:rsidRDefault="00602A13" w:rsidP="002412B0">
            <w:pPr>
              <w:shd w:val="clear" w:color="auto" w:fill="FFFFFF" w:themeFill="background1"/>
              <w:spacing w:after="0" w:line="240" w:lineRule="auto"/>
              <w:ind w:leftChars="50" w:left="110" w:right="88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Da adequação orçamentária</w:t>
            </w:r>
          </w:p>
          <w:p w14:paraId="7E2A0AC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despesa referente à presente contratação será atendida por dotação orçamentária específica, viabilizada mediante abertura de crédito adicional suplementar, com as seguintes características:</w:t>
            </w:r>
          </w:p>
          <w:p w14:paraId="4784DD44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Despesa: 130 – Obras de Infraestrutura Urbana;</w:t>
            </w:r>
          </w:p>
          <w:p w14:paraId="7D07093A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Unidade orçamentária: 06.001 – Departamento de Obras e Urbanismo;</w:t>
            </w:r>
          </w:p>
          <w:p w14:paraId="3F217951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Órgão: Município de Palmitos – Prefeitura;</w:t>
            </w:r>
          </w:p>
          <w:p w14:paraId="515D3F4E" w14:textId="5F307194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Natureza da despesa: 4.4.90.00.00.00.00.00 – Aplicações Diretas;</w:t>
            </w:r>
          </w:p>
          <w:p w14:paraId="528C4502" w14:textId="2F88CE78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Recurso: 2.500.0000.0000 – Recursos Ordinários;</w:t>
            </w:r>
          </w:p>
          <w:p w14:paraId="4A72C4EA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Dessa forma, uma vez publicado o respectivo decreto/ato de abertura de crédito adicional suplementar, a contratação passará a contar com adequação orçamentária e financeira formalmente atestada, assegurando a disponibilidade de recursos para a execução integral do objeto, em conformidade com o art. 18, § 1º, inciso XIII, da Lei nº 14.133/2021.</w:t>
            </w:r>
          </w:p>
        </w:tc>
      </w:tr>
      <w:tr w:rsidR="00AA323C" w:rsidRPr="002412B0" w14:paraId="09333E1A" w14:textId="77777777" w:rsidTr="002412B0">
        <w:trPr>
          <w:gridAfter w:val="1"/>
          <w:wAfter w:w="8" w:type="dxa"/>
          <w:trHeight w:val="228"/>
        </w:trPr>
        <w:tc>
          <w:tcPr>
            <w:tcW w:w="633" w:type="dxa"/>
          </w:tcPr>
          <w:p w14:paraId="02C82084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11.</w:t>
            </w:r>
          </w:p>
        </w:tc>
        <w:tc>
          <w:tcPr>
            <w:tcW w:w="9515" w:type="dxa"/>
          </w:tcPr>
          <w:p w14:paraId="529427A4" w14:textId="77777777" w:rsidR="00AA323C" w:rsidRPr="002412B0" w:rsidRDefault="00602A13" w:rsidP="002412B0">
            <w:pPr>
              <w:spacing w:after="0" w:line="240" w:lineRule="auto"/>
              <w:ind w:leftChars="50" w:left="110" w:right="88"/>
              <w:jc w:val="both"/>
              <w:rPr>
                <w:rFonts w:ascii="Times New Roman" w:eastAsia="Arial MT" w:hAnsi="Times New Roman" w:cs="Times New Roman"/>
                <w:b/>
                <w:bCs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Providências a serem adotadas pela Administração previamente à celebração do contrato, inclusive quanto à capacitação de servidores ou de empregados para fiscalização e gestão contratual.</w:t>
            </w:r>
          </w:p>
          <w:p w14:paraId="5845CF6C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 xml:space="preserve">Deverá ser realizada pela Administração a designação de fiscal de contrato e de fiscal de obra, com atribuição específica de acompanhar, além da execução técnica da obra, o cumprimento das condicionantes da </w:t>
            </w:r>
            <w:r w:rsidRPr="002412B0">
              <w:rPr>
                <w:rFonts w:ascii="Times New Roman" w:hAnsi="Times New Roman" w:cs="Times New Roman"/>
              </w:rPr>
              <w:lastRenderedPageBreak/>
              <w:t>Autorização Ambiental CONDER nº 10.420/2024, notadamente os relatórios técnicos fotográficos periódicos exigidos nos itens 10.4 e 10.5 daquele instrumento. Deverá, ainda, a Administração comunicar previamente os moradores lindeiros sobre a realização da obra, sendo de responsabilidade da CONTRATANTE a realização de serviços de manutenção não previstos no projeto.</w:t>
            </w:r>
          </w:p>
        </w:tc>
      </w:tr>
      <w:tr w:rsidR="00AA323C" w:rsidRPr="002412B0" w14:paraId="4C9B9511" w14:textId="77777777" w:rsidTr="002412B0">
        <w:trPr>
          <w:gridAfter w:val="1"/>
          <w:wAfter w:w="8" w:type="dxa"/>
          <w:trHeight w:val="228"/>
        </w:trPr>
        <w:tc>
          <w:tcPr>
            <w:tcW w:w="633" w:type="dxa"/>
          </w:tcPr>
          <w:p w14:paraId="0DE21316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12.</w:t>
            </w:r>
          </w:p>
        </w:tc>
        <w:tc>
          <w:tcPr>
            <w:tcW w:w="9515" w:type="dxa"/>
          </w:tcPr>
          <w:p w14:paraId="3502E9D7" w14:textId="77777777" w:rsidR="00AA323C" w:rsidRPr="002412B0" w:rsidRDefault="00602A13" w:rsidP="002412B0">
            <w:pPr>
              <w:spacing w:after="0" w:line="240" w:lineRule="auto"/>
              <w:ind w:leftChars="50" w:left="110" w:right="193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Contratações correlatas e/ou interdependentes</w:t>
            </w:r>
          </w:p>
          <w:p w14:paraId="472AB62C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Não há contratações correlatas ou interdependentes em andamento, uma vez que todos os meios necessários à operacionalização dos serviços podem ser supridos apenas com a contratação ora proposta. Registre-se que a execução da obra constitui pressuposto para o cumprimento das demais condicionantes do PRAD (implantação de vegetação nativa, monitoramento e relatórios técnicos periódicos), as quais, todavia, constituem obrigações de acompanhamento técnico próprio do Município, não demandando, neste momento, contratação autônoma.</w:t>
            </w:r>
          </w:p>
        </w:tc>
      </w:tr>
      <w:tr w:rsidR="00AA323C" w:rsidRPr="002412B0" w14:paraId="747E4B57" w14:textId="77777777" w:rsidTr="002412B0">
        <w:trPr>
          <w:gridAfter w:val="1"/>
          <w:wAfter w:w="8" w:type="dxa"/>
          <w:trHeight w:val="228"/>
        </w:trPr>
        <w:tc>
          <w:tcPr>
            <w:tcW w:w="633" w:type="dxa"/>
          </w:tcPr>
          <w:p w14:paraId="07B29A46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13.</w:t>
            </w:r>
          </w:p>
        </w:tc>
        <w:tc>
          <w:tcPr>
            <w:tcW w:w="9515" w:type="dxa"/>
          </w:tcPr>
          <w:p w14:paraId="0BF91863" w14:textId="1663A4B1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>D</w:t>
            </w:r>
            <w:r w:rsidRPr="00163821">
              <w:rPr>
                <w:rFonts w:ascii="Times New Roman" w:hAnsi="Times New Roman" w:cs="Times New Roman"/>
                <w:b/>
                <w:bCs/>
                <w:lang w:val="pt-BR"/>
              </w:rPr>
              <w:t>emonstrativo dos resultados pretendidos em termos de economicidade e de melhor aproveitamento dos recursos humanos, materiais e financeiros disponíveis</w:t>
            </w:r>
          </w:p>
          <w:p w14:paraId="6E295119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Com a contratação pretendida, a Administração busca alcançar resultados concretos relacionados à economicidade, eficiência, eficácia e ao melhor aproveitamento dos recursos públicos, em consonância com o disposto no art. 18, § 1º, inciso IX, da Lei Federal nº 14.133/2021.</w:t>
            </w:r>
          </w:p>
          <w:p w14:paraId="421922B2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Em termos de economicidade, pretende-se executar a obra com base em projetos, memorial de cálculo, especificações técnicas, quantitativos e orçamento previamente elaborados, proporcionando maior precisão na definição do objeto e dos custos estimados, reduzindo o risco de contratações inadequadas, retrabalho, desperdício de materiais e despesas decorrentes de soluções improvisadas.</w:t>
            </w:r>
          </w:p>
          <w:p w14:paraId="5954CED2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A execução da obra também contribuirá para o atendimento das condicionantes estabelecidas na Autorização Ambiental – AuA CONDER nº 10.420/2024, reduzindo os riscos decorrentes do eventual descumprimento das obrigações ambientais atribuídas ao Município e favorecendo a adequada recuperação das áreas objeto da intervenção.</w:t>
            </w:r>
          </w:p>
          <w:p w14:paraId="258F250F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Quanto ao melhor aproveitamento dos recursos humanos, a solução permitirá que a Administração concentre sua estrutura funcional nas atividades de planejamento, acompanhamento, fiscalização, medição e gestão contratual, sem necessidade de disponibilização de equipe própria para a execução direta de serviços especializados de engenharia, tais como fundações, estruturas de concreto armado, muros de contenção e sistemas de drenagem.</w:t>
            </w:r>
          </w:p>
          <w:p w14:paraId="7F8D70F5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No tocante ao melhor aproveitamento dos recursos materiais, a contratação transferirá à empresa especializada a responsabilidade pela disponibilização dos equipamentos, ferramentas, materiais, insumos, mão de obra e demais recursos necessários à execução da obra, evitando a necessidade de aquisição ou mobilização permanente de estrutura própria pelo Município para a realização dos serviços.</w:t>
            </w:r>
          </w:p>
          <w:p w14:paraId="70337644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Em relação aos recursos financeiros, busca-se racionalizar a aplicação dos recursos públicos mediante contratação previamente planejada, com orçamento detalhado, definição dos quantitativos e preços unitários dos serviços e acompanhamento da execução por meio de medições realizadas pela fiscalização.</w:t>
            </w:r>
          </w:p>
          <w:p w14:paraId="014CF3EF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Considerando o regime de empreitada por preço unitário, os pagamentos serão realizados conforme os serviços efetivamente executados e devidamente medidos e aprovados pela fiscalização, observados os preços unitários contratados e as demais condições estabelecidas no instrumento convocatório e no contrato.</w:t>
            </w:r>
          </w:p>
          <w:p w14:paraId="0036DA97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Como resultados diretos da contratação, espera-se:</w:t>
            </w:r>
          </w:p>
          <w:p w14:paraId="536C8043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estabilizar as áreas objeto da intervenção, por meio da execução dos muros de contenção e respectivas estruturas de suporte;</w:t>
            </w:r>
          </w:p>
          <w:p w14:paraId="04817288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reduzir e controlar processos erosivos e riscos decorrentes da instabilidade do solo;</w:t>
            </w:r>
          </w:p>
          <w:p w14:paraId="75136D7F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proporcionar adequado direcionamento e escoamento das águas pluviais, mediante a execução do sistema de drenagem previsto no projeto;</w:t>
            </w:r>
          </w:p>
          <w:p w14:paraId="055C93C8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proteger as estruturas e áreas adjacentes contra os efeitos da erosão e do escoamento inadequado das águas;</w:t>
            </w:r>
          </w:p>
          <w:p w14:paraId="4B9E0FD6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executar o cercamento das áreas, contribuindo para sua proteção e conservação;</w:t>
            </w:r>
          </w:p>
          <w:p w14:paraId="09D256B8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 xml:space="preserve">atender às intervenções previstas no Plano de Recuperação de Área Degradada – PRAD e às </w:t>
            </w:r>
            <w:r w:rsidRPr="00163821">
              <w:rPr>
                <w:rFonts w:ascii="Times New Roman" w:hAnsi="Times New Roman" w:cs="Times New Roman"/>
                <w:lang w:val="pt-BR"/>
              </w:rPr>
              <w:lastRenderedPageBreak/>
              <w:t>condicionantes ambientais aplicáveis;</w:t>
            </w:r>
          </w:p>
          <w:p w14:paraId="65557961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criar condições adequadas para a posterior recomposição da vegetação nativa e continuidade das medidas de recuperação ambiental previstas;</w:t>
            </w:r>
          </w:p>
          <w:p w14:paraId="1B1E6258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melhorar as condições de segurança, conservação, salubridade e qualificação do espaço público das Áreas Verdes nº 02 e 03 do Núcleo Residencial COHAB;</w:t>
            </w:r>
          </w:p>
          <w:p w14:paraId="77AF9737" w14:textId="77777777" w:rsidR="00163821" w:rsidRPr="00163821" w:rsidRDefault="00163821" w:rsidP="0016382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promover a aplicação eficiente dos recursos públicos, mediante execução planejada, fiscalização adequada e pagamento vinculado aos serviços efetivamente executados.</w:t>
            </w:r>
          </w:p>
          <w:p w14:paraId="66E1837D" w14:textId="59344082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>Dessa forma, a contratação pretende proporcionar uma solução de engenharia tecnicamente adequada, economicamente racional e compatível com as necessidades do Município, assegurando o melhor aproveitamento dos recursos humanos, materiais e financeiros disponíveis e contribuindo para o atendimento do interesse público e das obrigações ambientais assumidas pelo Município.</w:t>
            </w:r>
          </w:p>
        </w:tc>
      </w:tr>
      <w:tr w:rsidR="00AA323C" w:rsidRPr="002412B0" w14:paraId="61B41BA3" w14:textId="77777777" w:rsidTr="002412B0">
        <w:trPr>
          <w:gridAfter w:val="1"/>
          <w:wAfter w:w="8" w:type="dxa"/>
          <w:trHeight w:val="321"/>
        </w:trPr>
        <w:tc>
          <w:tcPr>
            <w:tcW w:w="633" w:type="dxa"/>
          </w:tcPr>
          <w:p w14:paraId="2C1D4F41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14.</w:t>
            </w:r>
          </w:p>
        </w:tc>
        <w:tc>
          <w:tcPr>
            <w:tcW w:w="9515" w:type="dxa"/>
          </w:tcPr>
          <w:p w14:paraId="7B7633D2" w14:textId="77777777" w:rsidR="00AA323C" w:rsidRPr="002412B0" w:rsidRDefault="00602A13" w:rsidP="002412B0">
            <w:pPr>
              <w:spacing w:after="0" w:line="240" w:lineRule="auto"/>
              <w:ind w:leftChars="50" w:left="110" w:right="88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Descrição de possíveis impactos ambientais e respectivas medidas mitigadoras, incluídos requisitos de baixo consumo de energia e de outros recursos, bem como logística reversa para desfazimento e reciclagem de bens e refugos, quando aplicável.</w:t>
            </w:r>
          </w:p>
          <w:p w14:paraId="133CB2A2" w14:textId="6CB41299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obra ora tratada tem, ela própria, natureza de medida de recuperação ambiental, porquanto integra as condicionantes da Autorização Ambiental (AuA) CONDER nº 10.420/2024, concedida para a atividade de recuperação de áreas degradadas por meio da conformação de relevo (código 71.80.00). Não obstante, a fase de execução da obra pode gerar impactos ambientais típicos de obras e serviços de engenharia, especialmente quanto à emissão de poeira e material particulado, geração de resíduos da construção civil, ruídos de máquinas e equipamentos, movimentação de solo e risco de carreamento de sedimentos, exigindo, nos termos da Lei 14.133/2021, a descrição desses impactos e das respectivas medidas mitigadoras.</w:t>
            </w:r>
          </w:p>
          <w:p w14:paraId="3078F0DD" w14:textId="0D9B61AF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Como medidas mitigadoras, deverá ser exigido da futura contratada o cumprimento integral da Autorização Ambiental CONDER nº 10.420/2024 e de suas condicionantes gerais e específicas, entre elas:</w:t>
            </w:r>
          </w:p>
          <w:p w14:paraId="35BC052B" w14:textId="1CFF1BD1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a) preservação da vegetação nativa remanescente</w:t>
            </w:r>
          </w:p>
          <w:p w14:paraId="08E4546E" w14:textId="533A7A55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Conforme constatado em vistoria da CONDER, as áreas possuem exemplares nativos isolados e frutíferas exóticas (notadamente Psidium guajava na Área Verde nº 02 e Eugenia uniflora na Área Verde nº 03). A contratada deverá executar a obra com o cuidado necessário à preservação dos exemplares nativos identificados no PRAD, vedado o corte ou a supressão de vegetação da Mata Atlântica não previamente autorizados, conforme item III das Observações da AuA.</w:t>
            </w:r>
          </w:p>
          <w:p w14:paraId="0617DD8A" w14:textId="0573E760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b) delimitação topográfica e sinalização das áreas</w:t>
            </w:r>
          </w:p>
          <w:p w14:paraId="35E604F4" w14:textId="4A7FEED8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colaborar com a delimitação por marcos topográficos e com a indicação, por meio de placas educativas, das áreas objeto de recuperação, conforme itens 7.2 e 7.3 das Condições Gerais da AuA, evitando intervenção em imóveis vizinhos.</w:t>
            </w:r>
          </w:p>
          <w:p w14:paraId="7189B8C6" w14:textId="28FAAB50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c) controle de resíduos da construção civil</w:t>
            </w:r>
          </w:p>
          <w:p w14:paraId="4B8278F8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promover a adequada segregação, acondicionamento, transporte e destinação final ambientalmente adequada de todos os resíduos gerados pela obra, inclusive entulhos, sobras de materiais, embalagens, madeiras, metais, plásticos e demais rejeitos, vedado o descarte irregular em vias públicas, terrenos baldios, redes de drenagem ou áreas não licenciadas.</w:t>
            </w:r>
          </w:p>
          <w:p w14:paraId="381C85D6" w14:textId="338AE38C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d) controle de poeira, particulados e material solto</w:t>
            </w:r>
          </w:p>
          <w:p w14:paraId="394722E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adotar medidas eficazes para redução da emissão de poeira, especialmente em atividades de escavação, movimentação de solo, carga, descarga e transporte de materiais, mediante umectação de áreas, cobertura de cargas e organização do canteiro.</w:t>
            </w:r>
          </w:p>
          <w:p w14:paraId="1B755D1D" w14:textId="72483046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e) controle de ruídos e perturbações no entorno</w:t>
            </w:r>
          </w:p>
          <w:p w14:paraId="0081E78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organizar a execução dos serviços de modo a minimizar ruídos excessivos, observando horários compatíveis com a legislação local e utilizando equipamentos em condições adequadas de manutenção.</w:t>
            </w:r>
          </w:p>
          <w:p w14:paraId="2B3B2A3F" w14:textId="5670D308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f) proteção do solo, da drenagem e das áreas adjacentes</w:t>
            </w:r>
          </w:p>
          <w:p w14:paraId="17D0738D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 xml:space="preserve">A contratada deverá adotar medidas para evitar erosão, assoreamento e carreamento de sedimentos durante a fase de escavação e concretagem, sendo esse, aliás, o próprio objetivo final da obra, mantendo o canteiro </w:t>
            </w:r>
            <w:r w:rsidRPr="002412B0">
              <w:rPr>
                <w:rFonts w:ascii="Times New Roman" w:hAnsi="Times New Roman" w:cs="Times New Roman"/>
              </w:rPr>
              <w:lastRenderedPageBreak/>
              <w:t>organizado e com armazenamento adequado de insumos.</w:t>
            </w:r>
          </w:p>
          <w:p w14:paraId="1C56071B" w14:textId="415CBF6F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g) uso racional de água, energia e materiais</w:t>
            </w:r>
          </w:p>
          <w:p w14:paraId="2B5B5C9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empregar boas práticas de obra voltadas à redução de desperdícios de água, energia elétrica e materiais de construção, promovendo consumo consciente e controle de perdas.</w:t>
            </w:r>
          </w:p>
          <w:p w14:paraId="4BE62893" w14:textId="1E28E3E3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h) prevenção de acidentes, riscos operacionais e danos a terceiros</w:t>
            </w:r>
          </w:p>
          <w:p w14:paraId="57AF7933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será responsável por implantar e manter as medidas de segurança do trabalho e de proteção coletiva e individual necessárias à execução da obra, incluindo sinalização, isolamento de áreas de risco e fornecimento de EPIs e EPCs.</w:t>
            </w:r>
          </w:p>
          <w:p w14:paraId="7B6B7500" w14:textId="21BB37C9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i) manutenção de fauna associada às áreas</w:t>
            </w:r>
          </w:p>
          <w:p w14:paraId="647474EA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Conforme item 6 do parecer técnico da AuA, a contratada deverá observar as orientações relativas ao manejo de exemplares exóticos (anelamento) e à eventual instalação de poleiros artificiais, sem prejuízo das competências do responsável técnico ambiental do PRAD.</w:t>
            </w:r>
          </w:p>
          <w:p w14:paraId="10A36A42" w14:textId="2657D5F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j) observância de exigências legais e licenças aplicáveis</w:t>
            </w:r>
          </w:p>
          <w:p w14:paraId="16929CBB" w14:textId="12B82433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 contratada deverá cumprir integralmente as condicionantes, exigências técnicas e medidas ambientais incidentes sobre a execução da obra, inclusive aquelas decorrentes da Autorização Ambiental CONDER nº 10.420/2024, sob pena de responsabilização própria e sem prejuízo da responsabilidade do Município perante o órgão licenciador.</w:t>
            </w:r>
          </w:p>
          <w:p w14:paraId="119379CB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Considerando a natureza do objeto — obra vinculada à própria recuperação ambiental das áreas —, os impactos negativos da fase de execução são temporários, pontuais e mitigáveis, ao passo que os impactos positivos, decorrentes da estabilização do solo, da contenção de erosão e da viabilização da recomposição vegetal, são permanentes e diretamente vinculados ao cumprimento da finalidade pública e ambiental da contratação.</w:t>
            </w:r>
          </w:p>
        </w:tc>
      </w:tr>
      <w:tr w:rsidR="00AA323C" w:rsidRPr="002412B0" w14:paraId="3D9F50BD" w14:textId="77777777" w:rsidTr="002412B0">
        <w:trPr>
          <w:gridAfter w:val="1"/>
          <w:wAfter w:w="8" w:type="dxa"/>
          <w:trHeight w:val="227"/>
        </w:trPr>
        <w:tc>
          <w:tcPr>
            <w:tcW w:w="633" w:type="dxa"/>
          </w:tcPr>
          <w:p w14:paraId="55953393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15.</w:t>
            </w:r>
          </w:p>
        </w:tc>
        <w:tc>
          <w:tcPr>
            <w:tcW w:w="9515" w:type="dxa"/>
          </w:tcPr>
          <w:p w14:paraId="57E875CD" w14:textId="77777777" w:rsidR="00AA323C" w:rsidRPr="002412B0" w:rsidRDefault="00602A13" w:rsidP="002412B0">
            <w:pPr>
              <w:shd w:val="clear" w:color="auto" w:fill="FFFFFF" w:themeFill="background1"/>
              <w:spacing w:after="0" w:line="240" w:lineRule="auto"/>
              <w:ind w:leftChars="50" w:left="110" w:right="88"/>
              <w:jc w:val="both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Modelo de gestão do objeto e do contrato, que descreve como a execução do objeto será acompanhada e fiscalizada pelo órgão ou entidade</w:t>
            </w:r>
          </w:p>
          <w:p w14:paraId="05BCCCB7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A gestão do presente contrato será realizada pelo </w:t>
            </w:r>
            <w:r w:rsidRPr="00505390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 xml:space="preserve">Sr. </w:t>
            </w:r>
            <w:r w:rsidRPr="00A57C54">
              <w:rPr>
                <w:rFonts w:ascii="Times New Roman" w:hAnsi="Times New Roman"/>
              </w:rPr>
              <w:t>Carlos Schlemmer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, designado como </w:t>
            </w:r>
            <w:r w:rsidRPr="00505390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>gestor do</w:t>
            </w:r>
            <w:r w:rsidRPr="00A57C54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 xml:space="preserve"> </w:t>
            </w:r>
            <w:r w:rsidRPr="00505390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>contrato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, a quem compete: </w:t>
            </w:r>
          </w:p>
          <w:p w14:paraId="37064267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b/>
                <w:bCs/>
                <w:color w:val="000000"/>
                <w:lang w:eastAsia="zh-CN" w:bidi="ar"/>
              </w:rPr>
              <w:t>a)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 Proceder à retirada/recebimento e fiscalização do contrato, assegurando o cumprimento das disposições do edital e do instrumento contratual; </w:t>
            </w:r>
          </w:p>
          <w:p w14:paraId="062E2C8F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b/>
                <w:bCs/>
                <w:color w:val="000000"/>
                <w:lang w:eastAsia="zh-CN" w:bidi="ar"/>
              </w:rPr>
              <w:t>b)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 Transmitir por escrito à contratada as instruções, ordens e reclamações necessárias à adequada execução; </w:t>
            </w:r>
          </w:p>
          <w:p w14:paraId="347013D6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b/>
                <w:bCs/>
                <w:color w:val="000000"/>
                <w:lang w:eastAsia="zh-CN" w:bidi="ar"/>
              </w:rPr>
              <w:t>c)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 Decidir, no âmbito de sua competência, as dúvidas que surgirem durante a execução contratual</w:t>
            </w:r>
            <w:r w:rsidRPr="00A57C54">
              <w:rPr>
                <w:rFonts w:ascii="Times New Roman" w:eastAsia="SimSun" w:hAnsi="Times New Roman"/>
                <w:color w:val="000000"/>
                <w:lang w:eastAsia="zh-CN" w:bidi="ar"/>
              </w:rPr>
              <w:t>.</w:t>
            </w:r>
          </w:p>
          <w:p w14:paraId="4AB5C0D3" w14:textId="07B1D80C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946F03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O acompanhamento e a fiscalização do objeto contratado serão exercidos pelo Engenheiro Civil </w:t>
            </w:r>
            <w:r w:rsidRPr="001375B1">
              <w:rPr>
                <w:rFonts w:ascii="Times New Roman" w:eastAsia="SimSun" w:hAnsi="Times New Roman"/>
                <w:color w:val="000000"/>
                <w:lang w:eastAsia="zh-CN" w:bidi="ar"/>
              </w:rPr>
              <w:t>Juliano Pedro Scandolara</w:t>
            </w:r>
            <w:r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 </w:t>
            </w:r>
            <w:r w:rsidRPr="001375B1">
              <w:rPr>
                <w:rFonts w:ascii="Times New Roman" w:eastAsia="SimSun" w:hAnsi="Times New Roman"/>
                <w:color w:val="000000"/>
                <w:lang w:eastAsia="zh-CN" w:bidi="ar"/>
              </w:rPr>
              <w:t>CREA/SC nº 51.858-1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, responsável pelo controle formal nos aspectos administrativos, procedimentais, contábeis e técnicos da execução. Compete-lhe ainda: </w:t>
            </w:r>
          </w:p>
          <w:p w14:paraId="39B32E74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a) Registrar em relatórios todas as ocorrências e eventuais deficiências constatadas; </w:t>
            </w:r>
          </w:p>
          <w:p w14:paraId="2A09DCC7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b) Encaminhar cópia dos relatórios à contratada, objetivando a correção das irregularidades no prazo estabelecido; </w:t>
            </w:r>
          </w:p>
          <w:p w14:paraId="57678074" w14:textId="77777777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c) Emitir parecer técnico sobre a conformidade dos serviços executados. </w:t>
            </w:r>
          </w:p>
          <w:p w14:paraId="38B7CAE4" w14:textId="4CB9EB3F" w:rsidR="00A864A7" w:rsidRPr="00A57C54" w:rsidRDefault="00A864A7" w:rsidP="00A864A7">
            <w:pPr>
              <w:spacing w:after="0" w:line="240" w:lineRule="auto"/>
              <w:ind w:rightChars="34" w:right="75"/>
              <w:jc w:val="both"/>
              <w:rPr>
                <w:rFonts w:ascii="Times New Roman" w:hAnsi="Times New Roman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O </w:t>
            </w:r>
            <w:r w:rsidRPr="00505390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 xml:space="preserve">fiscal do contrato 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será responsável por zelar pelo fiel cumprimento das cláusulas contratuais, inclusive no que se refere aos encargos complementares. </w:t>
            </w:r>
          </w:p>
          <w:p w14:paraId="09813A1E" w14:textId="42BBA0B7" w:rsidR="002B4569" w:rsidRPr="00A864A7" w:rsidRDefault="00A864A7" w:rsidP="00A864A7">
            <w:pPr>
              <w:shd w:val="clear" w:color="auto" w:fill="FFFFFF"/>
              <w:spacing w:after="0" w:line="240" w:lineRule="auto"/>
              <w:ind w:right="191"/>
              <w:jc w:val="both"/>
              <w:rPr>
                <w:rFonts w:ascii="Times New Roman" w:eastAsia="SimSun" w:hAnsi="Times New Roman"/>
                <w:color w:val="000000"/>
                <w:lang w:eastAsia="zh-CN" w:bidi="ar"/>
              </w:rPr>
            </w:pP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 xml:space="preserve">As exigências e a atuação da fiscalização pelo Município em </w:t>
            </w:r>
            <w:r w:rsidRPr="00505390">
              <w:rPr>
                <w:rFonts w:ascii="Times New Roman" w:eastAsia="TimesNewRomanPS-BoldMT" w:hAnsi="Times New Roman"/>
                <w:color w:val="000000"/>
                <w:lang w:eastAsia="zh-CN" w:bidi="ar"/>
              </w:rPr>
              <w:t xml:space="preserve">nada restringem a responsabilidade única, integral e exclusiva da contratada </w:t>
            </w:r>
            <w:r w:rsidRPr="00505390">
              <w:rPr>
                <w:rFonts w:ascii="Times New Roman" w:eastAsia="SimSun" w:hAnsi="Times New Roman"/>
                <w:color w:val="000000"/>
                <w:lang w:eastAsia="zh-CN" w:bidi="ar"/>
              </w:rPr>
              <w:t>quanto à execução do objeto contratado, nos termos da Lei nº 14.133/2021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0AF0E2C7" w14:textId="77777777" w:rsidTr="002412B0">
        <w:trPr>
          <w:gridAfter w:val="1"/>
          <w:wAfter w:w="8" w:type="dxa"/>
          <w:trHeight w:val="383"/>
        </w:trPr>
        <w:tc>
          <w:tcPr>
            <w:tcW w:w="633" w:type="dxa"/>
          </w:tcPr>
          <w:p w14:paraId="23E93336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16.</w:t>
            </w:r>
          </w:p>
        </w:tc>
        <w:tc>
          <w:tcPr>
            <w:tcW w:w="9515" w:type="dxa"/>
          </w:tcPr>
          <w:p w14:paraId="445E5C35" w14:textId="77777777" w:rsidR="00AA323C" w:rsidRPr="002412B0" w:rsidRDefault="00602A13" w:rsidP="002412B0">
            <w:pPr>
              <w:shd w:val="clear" w:color="auto" w:fill="FFFFFF" w:themeFill="background1"/>
              <w:spacing w:after="0" w:line="240" w:lineRule="auto"/>
              <w:ind w:leftChars="50" w:left="110" w:right="193"/>
              <w:jc w:val="both"/>
              <w:rPr>
                <w:rFonts w:ascii="Times New Roman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Critérios de medição e de pagamento</w:t>
            </w:r>
          </w:p>
          <w:p w14:paraId="058890F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1. Medição e comprovação da execução</w:t>
            </w:r>
          </w:p>
          <w:p w14:paraId="722E8F1A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A contratada deverá apresentar Diário de Obras contendo a identificação dos funcionários presentes em cada dia de serviço, acompanhado dos comprovantes de pagamento da folha correspondente.</w:t>
            </w:r>
          </w:p>
          <w:p w14:paraId="2A25E185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A medição dos serviços executados será realizada pela fiscalização designada, mediante relatórios técnicos, com base nos quantitativos e etapas discriminados no memorial de cálculo, e servirá como base para a emissão da fatura.</w:t>
            </w:r>
          </w:p>
          <w:p w14:paraId="3C3F1DFD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2. Faturamento e Nota Fiscal</w:t>
            </w:r>
          </w:p>
          <w:p w14:paraId="0B80D61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O pagamento será efetuado em até 30 (trinta) dias após a certificação da Nota Fiscal Eletrônica – NF-e pela fiscalização.</w:t>
            </w:r>
          </w:p>
          <w:p w14:paraId="1EA6C503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A contratada deverá emitir a NF-e de acordo com os procedimentos legais e orientações do Município de Palmitos/SC, observando a Instrução Normativa RFB nº 2.110/2022, a fim de evitar devoluções.</w:t>
            </w:r>
          </w:p>
          <w:p w14:paraId="0F47F7D5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3. Forma de pagamento</w:t>
            </w:r>
          </w:p>
          <w:p w14:paraId="0448718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O pagamento será realizado por transferência bancária para conta da contratada ou por boleto bancário.</w:t>
            </w:r>
          </w:p>
          <w:p w14:paraId="664A5F6B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Caso seja solicitada transferência para instituição financeira diversa daquela em que estiver depositado o recurso público, as despesas de TED/DOC/PIX serão de responsabilidade exclusiva da contratada.</w:t>
            </w:r>
          </w:p>
          <w:p w14:paraId="5CAA8FE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4. Condições para o pagamento</w:t>
            </w:r>
          </w:p>
          <w:p w14:paraId="4CF8415F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Os pagamentos somente ocorrerão quando a contratada estiver regular em relação às seguintes obrigações: Certidões Negativas de Débito (CNDs) federal, estadual e municipal; regularidade do FGTS; certidão trabalhista.</w:t>
            </w:r>
          </w:p>
          <w:p w14:paraId="3081C555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A CND da obra deverá ser apresentada no ato do pagamento final.</w:t>
            </w:r>
          </w:p>
          <w:p w14:paraId="61B516DC" w14:textId="2172003C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5. Cadastro Nacional de Obras – CNO</w:t>
            </w:r>
          </w:p>
          <w:p w14:paraId="7B3ADFDE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Após a emissão da Ordem de Serviço, a contratada deverá providenciar e apresentar o Cadastro Nacional de Obras – CNO, comprovando o devido registro da obra.</w:t>
            </w:r>
          </w:p>
          <w:p w14:paraId="5776DDE0" w14:textId="76BF902F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6. Regras previdenciárias</w:t>
            </w:r>
          </w:p>
          <w:p w14:paraId="062AAC20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Para fins de retenção das contribuições previdenciárias (INSS), serão observadas as disposições da Instrução Normativa RFB nº 2.110/2022, especialmente o art. 114, que trata das hipóteses de dispensa ou obrigatoriedade da retenção em contratos de construção civil.</w:t>
            </w:r>
          </w:p>
          <w:p w14:paraId="36BCFADE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• Quando aplicável, será exigida a solidariedade prevista no Regulamento da Previdência Social (1999, art. 221-A).</w:t>
            </w:r>
          </w:p>
        </w:tc>
      </w:tr>
      <w:tr w:rsidR="00AA323C" w:rsidRPr="002412B0" w14:paraId="604D1428" w14:textId="77777777" w:rsidTr="002412B0">
        <w:trPr>
          <w:gridAfter w:val="1"/>
          <w:wAfter w:w="8" w:type="dxa"/>
        </w:trPr>
        <w:tc>
          <w:tcPr>
            <w:tcW w:w="633" w:type="dxa"/>
          </w:tcPr>
          <w:p w14:paraId="5638B4BF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t>17.</w:t>
            </w:r>
          </w:p>
        </w:tc>
        <w:tc>
          <w:tcPr>
            <w:tcW w:w="9515" w:type="dxa"/>
          </w:tcPr>
          <w:p w14:paraId="587AF607" w14:textId="77777777" w:rsidR="00AA323C" w:rsidRPr="002412B0" w:rsidRDefault="00602A13" w:rsidP="002412B0">
            <w:pPr>
              <w:pStyle w:val="Ttulo1"/>
              <w:spacing w:before="0" w:line="240" w:lineRule="auto"/>
              <w:ind w:left="149" w:right="88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bookmarkStart w:id="0" w:name="_Toc133163708"/>
            <w:bookmarkEnd w:id="0"/>
            <w:r w:rsidRPr="002412B0">
              <w:rPr>
                <w:rFonts w:ascii="Times New Roman" w:hAnsi="Times New Roman" w:cs="Times New Roman"/>
                <w:sz w:val="22"/>
                <w:szCs w:val="22"/>
              </w:rPr>
              <w:t>Da habilitação</w:t>
            </w:r>
          </w:p>
          <w:p w14:paraId="1670080F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Documentos a serem apresentados (art. 62 ao 70 da Lei nº 14.133/2021):</w:t>
            </w:r>
          </w:p>
          <w:p w14:paraId="74BBB882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Declaração que atende aos requisitos de habilitação (art. 63, I da Lei nº 14.133/2021).</w:t>
            </w:r>
          </w:p>
          <w:p w14:paraId="4A73A23B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Declaração que cumpre as exigências de reserva de cargos para pessoa com deficiência e para reabilitado da Previdência Social, nos termos do art. 93 da Lei nº 8.213/91 (art. 63, IV da Lei nº 14.133/2021).</w:t>
            </w:r>
          </w:p>
          <w:p w14:paraId="5B88EF44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Declaração que não incorre nos impedimentos legais.</w:t>
            </w:r>
          </w:p>
          <w:p w14:paraId="25B0D225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Declaração assinada pelo responsável da empresa de que, caso seja considerada vencedora da licitação, terá plenas condições de iniciar a obra em, no máximo, 10 (dez) dias após a homologação do certame, sob pena de sofrer as sanções previstas no edital.</w:t>
            </w:r>
          </w:p>
          <w:p w14:paraId="7986F2A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Declaração da empresa licitante, assinada por seu responsável técnico e pelo representante legal, atestando que analisaram o memorial de cálculo, o projeto estrutural e o orçamento, verificando que:</w:t>
            </w:r>
          </w:p>
          <w:p w14:paraId="2F481FD7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- Os preços dos materiais e serviços definidos no orçamento da obra são compatíveis com os valores de mercado;</w:t>
            </w:r>
          </w:p>
          <w:p w14:paraId="2AF2B594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- Os quantitativos definidos no orçamento da obra são condizentes com os quantitativos apresentados no memorial de cálculo/projeto;</w:t>
            </w:r>
          </w:p>
          <w:p w14:paraId="1B248A7C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- O projeto é adequado para a licitação/execução da obra;</w:t>
            </w:r>
          </w:p>
          <w:p w14:paraId="5DA8BB58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- O orçamento da obra encontra-se devidamente detalhado (planilha de quantitativos e preços unitários) e acompanhado das composições de todos os custos unitários de seus serviços.</w:t>
            </w:r>
          </w:p>
          <w:p w14:paraId="74FC06C7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 xml:space="preserve">Declaração de Cumprimento do art. 7º, XXXIII da CF/88: proibição de trabalho noturno, perigoso ou </w:t>
            </w:r>
            <w:r w:rsidRPr="002412B0">
              <w:rPr>
                <w:rFonts w:ascii="Times New Roman" w:hAnsi="Times New Roman" w:cs="Times New Roman"/>
              </w:rPr>
              <w:lastRenderedPageBreak/>
              <w:t>insalubre a menores de dezoito e de qualquer trabalho a menores de dezesseis anos, salvo na condição de aprendiz, a partir de quatorze anos.</w:t>
            </w:r>
          </w:p>
          <w:p w14:paraId="375CEE94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HABILITAÇÃO JURÍDICA (art. 66 da Lei nº 14.133/2021):</w:t>
            </w:r>
          </w:p>
          <w:p w14:paraId="54DA848C" w14:textId="4DDBE21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Comprovação da existência jurídica da pessoa, como:</w:t>
            </w:r>
          </w:p>
          <w:p w14:paraId="6B6AE723" w14:textId="5B7FB8A8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a.1 - Estatuto ou contrato social;</w:t>
            </w:r>
          </w:p>
          <w:p w14:paraId="7F3211B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a.2 - Ato constitutivo;</w:t>
            </w:r>
          </w:p>
          <w:p w14:paraId="77A75AC6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a.3 - Registro comercial;</w:t>
            </w:r>
          </w:p>
          <w:p w14:paraId="735CC268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a.4 - Decreto de autorização.</w:t>
            </w:r>
          </w:p>
          <w:p w14:paraId="76BA9792" w14:textId="077D7D20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HABILITAÇÃO TÉCNICA (art. 67 da Lei nº 14.133/2021):</w:t>
            </w:r>
          </w:p>
          <w:p w14:paraId="6F55BB57" w14:textId="59D0A5F7" w:rsidR="002B4569" w:rsidRPr="002412B0" w:rsidRDefault="00A864A7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a) </w:t>
            </w:r>
            <w:r w:rsidR="00000000" w:rsidRPr="002412B0">
              <w:rPr>
                <w:rFonts w:ascii="Times New Roman" w:hAnsi="Times New Roman" w:cs="Times New Roman"/>
              </w:rPr>
              <w:t>Apresentar registro ou inscrição da empresa e de um responsável técnico junto ao Conselho Regional de Engenharia e Agronomia - CREA, Engenheiro Civil, da região a que estiverem vinculados, sendo que a relação jurídica entre o profissional e a empresa será exigida no momento da assinatura do contrato.</w:t>
            </w:r>
          </w:p>
          <w:p w14:paraId="53B9E023" w14:textId="3D79BBB9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b) A empresa licitante deverá apresentar no mínimo 01 (um) atestado fornecido por pessoa jurídica de direito público ou privado, em nome do responsável técnico, mediante CAT-Certidão de Acervo Técnico fornecida pelo CREA, comprovando o desempenho de atividade pertinente e compatível com o objeto da licitação</w:t>
            </w:r>
            <w:r w:rsidR="00767804" w:rsidRPr="002412B0">
              <w:rPr>
                <w:rFonts w:ascii="Times New Roman" w:hAnsi="Times New Roman" w:cs="Times New Roman"/>
              </w:rPr>
              <w:t xml:space="preserve">, etntendendo-se como compatível a </w:t>
            </w:r>
            <w:r w:rsidRPr="002412B0">
              <w:rPr>
                <w:rFonts w:ascii="Times New Roman" w:hAnsi="Times New Roman" w:cs="Times New Roman"/>
              </w:rPr>
              <w:t>execução de muros de arrimo/contenção em blocos estruturais e/ou estrutura de concreto armado)</w:t>
            </w:r>
            <w:r w:rsidR="00767804" w:rsidRPr="002412B0">
              <w:rPr>
                <w:rFonts w:ascii="Times New Roman" w:hAnsi="Times New Roman" w:cs="Times New Roman"/>
              </w:rPr>
              <w:t>.</w:t>
            </w:r>
          </w:p>
          <w:p w14:paraId="1CD890FC" w14:textId="56E83CF9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 xml:space="preserve">c) A empresa licitante deverá apresentar no mínimo 01 (um) atestado, fornecido por pessoa jurídica de direito público ou privado, em nome da licitante, </w:t>
            </w:r>
            <w:r w:rsidR="00DD5045" w:rsidRPr="002412B0">
              <w:rPr>
                <w:rFonts w:ascii="Times New Roman" w:hAnsi="Times New Roman" w:cs="Times New Roman"/>
              </w:rPr>
              <w:t>comprovando o desempenho de atividade pertinente e compatível com o objeto da licitação, etntendendo-se como compatível a execução de muros de arrimo/contenção em blocos estruturais e/ou estrutura de concreto armado).</w:t>
            </w:r>
          </w:p>
          <w:p w14:paraId="3CCEA87A" w14:textId="256C4D1D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IX - HABILITAÇÃO FISCAL, SOCIAL E TRABALHISTA (art. 68 da Lei nº 14.133/2021):</w:t>
            </w:r>
          </w:p>
          <w:p w14:paraId="3B0ECBB5" w14:textId="022375D6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Cartão do CNPJ;</w:t>
            </w:r>
          </w:p>
          <w:p w14:paraId="2674B865" w14:textId="46D7181F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Inscrição no cadastro de contribuintes estadual e/ou municipal, SE HOUVER, relativo ao domicílio ou sede do licitante, pertinente ao seu ramo de atividade e compatível com o objeto contratual;</w:t>
            </w:r>
          </w:p>
          <w:p w14:paraId="3CB26ACF" w14:textId="44C52BC9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Regularidade com a Fazenda federal e com a Seguridade Social;</w:t>
            </w:r>
          </w:p>
          <w:p w14:paraId="73305126" w14:textId="5B2DA5A5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Regularidade com a Fazenda estadual do domicílio ou sede do licitante;</w:t>
            </w:r>
          </w:p>
          <w:p w14:paraId="3F460C69" w14:textId="01388CCD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Regularidade com a Fazenda municipal do domicílio ou sede do licitante;</w:t>
            </w:r>
          </w:p>
          <w:p w14:paraId="0A99CD37" w14:textId="717E507D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Regularidade com o FGTS;</w:t>
            </w:r>
          </w:p>
          <w:p w14:paraId="49626F1A" w14:textId="77777777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Regularidade com a Justiça do Trabalho.</w:t>
            </w:r>
          </w:p>
        </w:tc>
      </w:tr>
      <w:tr w:rsidR="00AA323C" w:rsidRPr="002412B0" w14:paraId="3B2D770E" w14:textId="77777777" w:rsidTr="006836D6">
        <w:trPr>
          <w:gridAfter w:val="1"/>
          <w:wAfter w:w="8" w:type="dxa"/>
          <w:trHeight w:val="280"/>
        </w:trPr>
        <w:tc>
          <w:tcPr>
            <w:tcW w:w="633" w:type="dxa"/>
          </w:tcPr>
          <w:p w14:paraId="080B28F6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18.</w:t>
            </w:r>
          </w:p>
        </w:tc>
        <w:tc>
          <w:tcPr>
            <w:tcW w:w="9515" w:type="dxa"/>
          </w:tcPr>
          <w:p w14:paraId="2F2F2475" w14:textId="77777777" w:rsidR="00AA323C" w:rsidRPr="002412B0" w:rsidRDefault="00602A13" w:rsidP="002412B0">
            <w:pPr>
              <w:spacing w:after="0" w:line="240" w:lineRule="auto"/>
              <w:ind w:leftChars="50" w:left="110" w:right="193"/>
              <w:jc w:val="both"/>
              <w:rPr>
                <w:rFonts w:ascii="Times New Roman" w:eastAsia="Arial MT" w:hAnsi="Times New Roman" w:cs="Times New Roman"/>
                <w:b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Posicionamento conclusivo sobre a adequação da contratação para o atendimento da necessidade a que se destina</w:t>
            </w:r>
          </w:p>
          <w:p w14:paraId="414CB35C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 xml:space="preserve">À vista da necessidade pública </w:t>
            </w:r>
            <w:r w:rsidRPr="004E63B2">
              <w:rPr>
                <w:rFonts w:ascii="Times New Roman" w:hAnsi="Times New Roman" w:cs="Times New Roman"/>
                <w:lang w:val="pt-BR"/>
              </w:rPr>
              <w:t>devidamente caracterizada, das condicionantes ambientais estabelecidas na Autorização Ambiental – AuA CONDER nº 10.420/2024, da análise das alternativas possíveis, do levantamento de mercado realizado e da solução técnica selecionada, conclui-se que a contratação pretendida se mostra adequada, necessária e suficiente para o atendimento da necessidade administrativa identificada.</w:t>
            </w:r>
          </w:p>
          <w:p w14:paraId="36899E46" w14:textId="77777777" w:rsidR="00163821" w:rsidRPr="00163821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A solução selecionada consiste na contratação de empresa especializada para a execução global de muros de contenção em blocos de concreto estrutural e estrutura de concreto armado, com execução dos serviços complementares de drenagem pluvial e cercamento,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nas Áreas Verdes nº 02 e 03 do Núcleo Residencial COHAB, Bairro Nossa Senhora do Rosário, no Município de Palmitos/SC, conforme os projetos, memorial de cálculo, planilha orçamentária, cronograma físico-financeiro e demais documentos técnicos que instruirão a contratação.</w:t>
            </w:r>
          </w:p>
          <w:p w14:paraId="5889B2B4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163821">
              <w:rPr>
                <w:rFonts w:ascii="Times New Roman" w:hAnsi="Times New Roman" w:cs="Times New Roman"/>
                <w:lang w:val="pt-BR"/>
              </w:rPr>
              <w:t xml:space="preserve">A solução </w:t>
            </w:r>
            <w:r w:rsidRPr="004E63B2">
              <w:rPr>
                <w:rFonts w:ascii="Times New Roman" w:hAnsi="Times New Roman" w:cs="Times New Roman"/>
                <w:lang w:val="pt-BR"/>
              </w:rPr>
              <w:t>mostra-se adequada ao interesse público por reunir condições de viabilidade técnica, economicidade, eficiência administrativa, conformidade ambiental e efetividade, permitindo a execução coordenada dos serviços necessários à estabilização, proteção e recuperação das áreas objeto da intervenção.</w:t>
            </w:r>
          </w:p>
          <w:p w14:paraId="359983F9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A contratação é tecnicamente adequada porque se fundamenta em documentos técnicos previamente elaborados, incluindo memorial de cálculo, projetos e orçamento detalhado, possibilitando a definição objetiva do objeto, a adequada formação do preço estimado e o acompanhamento da execução por meio de fiscalização e medições dos serviços efetivamente realizados.</w:t>
            </w:r>
          </w:p>
          <w:p w14:paraId="5D68C677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lastRenderedPageBreak/>
              <w:t>Também se mostra administrativamente adequada, uma vez que a execução será atribuída a empresa especializada, com capacidade técnica e operacional compatível com a natureza do objeto, permitindo que a Administração concentre sua atuação no planejamento, gestão, fiscalização e acompanhamento da execução contratual e das obrigações ambientais pertinentes.</w:t>
            </w:r>
          </w:p>
          <w:p w14:paraId="1792A95C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Sob o aspecto do interesse público, a contratação permitirá a execução das intervenções necessárias à estabilização das áreas, à contenção de processos erosivos e à implantação do sistema de drenagem previsto, contribuindo para a proteção das áreas públicas e para o atendimento das medidas estabelecidas no Plano de Recuperação de Área Degradada – PRAD e das condicionantes ambientais aplicáveis.</w:t>
            </w:r>
          </w:p>
          <w:p w14:paraId="7077F800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A execução das intervenções também deverá criar condições adequadas para a posterior continuidade das medidas de recuperação ambiental, especialmente aquelas relacionadas à recomposição da vegetação nativa e à recuperação das áreas, conforme previsto nos documentos ambientais pertinentes e nas determinações do órgão licenciador.</w:t>
            </w:r>
          </w:p>
          <w:p w14:paraId="45720013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Quanto à modelagem da contratação, a opção pela execução em objeto único, com critério de julgamento de menor preço global, mostra-se compatível com a natureza da solução, considerando a integração técnica e operacional entre os serviços, a possibilidade de compartilhamento de recursos e estrutura de execução, a necessidade de coordenação entre as diferentes etapas construtivas e a concentração da responsabilidade pela execução integral da solução em uma única contratada.</w:t>
            </w:r>
          </w:p>
          <w:p w14:paraId="4179BE48" w14:textId="77777777" w:rsidR="00163821" w:rsidRPr="004E63B2" w:rsidRDefault="00163821" w:rsidP="001638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A contratação global, conforme fundamentado neste Estudo Técnico Preliminar, não decorre exclusivamente da existência de uma única autorização ambiental ou de um orçamento conjunto, mas da análise da solução de engenharia e das características dos serviços, que demonstram a conveniência de sua execução coordenada e integrada.</w:t>
            </w:r>
          </w:p>
          <w:p w14:paraId="45D5EE8D" w14:textId="4D14CF1E" w:rsidR="002B4569" w:rsidRPr="00163821" w:rsidRDefault="00163821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4E63B2">
              <w:rPr>
                <w:rFonts w:ascii="Times New Roman" w:hAnsi="Times New Roman" w:cs="Times New Roman"/>
                <w:lang w:val="pt-BR"/>
              </w:rPr>
              <w:t>Dessa forma, posiciona-se conclusivamente pela adequação, viabilidade e conveniência da contratação, recomendando-se o prosseguimento</w:t>
            </w:r>
            <w:r w:rsidRPr="00163821">
              <w:rPr>
                <w:rFonts w:ascii="Times New Roman" w:hAnsi="Times New Roman" w:cs="Times New Roman"/>
                <w:lang w:val="pt-BR"/>
              </w:rPr>
              <w:t xml:space="preserve"> da fase preparatória e a adoção das providências necessárias à deflagração do procedimento licitatório, por se tratar de solução compatível com a necessidade pública identificada, com os objetivos de eficiência e economicidade da Administração e com as obrigações ambientais aplicáveis ao Município</w:t>
            </w:r>
            <w:r w:rsidR="00000000" w:rsidRPr="002412B0">
              <w:rPr>
                <w:rFonts w:ascii="Times New Roman" w:hAnsi="Times New Roman" w:cs="Times New Roman"/>
              </w:rPr>
              <w:t>.</w:t>
            </w:r>
          </w:p>
        </w:tc>
      </w:tr>
      <w:tr w:rsidR="00AA323C" w:rsidRPr="002412B0" w14:paraId="0E4A4969" w14:textId="77777777" w:rsidTr="002412B0">
        <w:trPr>
          <w:gridAfter w:val="1"/>
          <w:wAfter w:w="8" w:type="dxa"/>
          <w:trHeight w:val="1126"/>
        </w:trPr>
        <w:tc>
          <w:tcPr>
            <w:tcW w:w="633" w:type="dxa"/>
          </w:tcPr>
          <w:p w14:paraId="5A3D3A23" w14:textId="77777777" w:rsidR="00AA323C" w:rsidRPr="002412B0" w:rsidRDefault="00602A13" w:rsidP="002412B0">
            <w:pPr>
              <w:spacing w:after="0" w:line="240" w:lineRule="auto"/>
              <w:ind w:right="191"/>
              <w:rPr>
                <w:rFonts w:ascii="Times New Roman" w:eastAsia="Arial MT" w:hAnsi="Times New Roman" w:cs="Times New Roman"/>
                <w:b/>
              </w:rPr>
            </w:pPr>
            <w:r w:rsidRPr="002412B0">
              <w:rPr>
                <w:rFonts w:ascii="Times New Roman" w:eastAsia="Arial MT" w:hAnsi="Times New Roman" w:cs="Times New Roman"/>
                <w:b/>
              </w:rPr>
              <w:lastRenderedPageBreak/>
              <w:t>19.</w:t>
            </w:r>
          </w:p>
        </w:tc>
        <w:tc>
          <w:tcPr>
            <w:tcW w:w="9515" w:type="dxa"/>
          </w:tcPr>
          <w:p w14:paraId="766E0122" w14:textId="2CDB9F69" w:rsidR="002B4569" w:rsidRPr="002412B0" w:rsidRDefault="00602A13" w:rsidP="002412B0">
            <w:pPr>
              <w:spacing w:after="0" w:line="240" w:lineRule="auto"/>
              <w:ind w:right="193" w:firstLineChars="50" w:firstLine="110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2412B0">
              <w:rPr>
                <w:rFonts w:ascii="Times New Roman" w:hAnsi="Times New Roman" w:cs="Times New Roman"/>
                <w:b/>
              </w:rPr>
              <w:t>Descrição do Objeto</w:t>
            </w:r>
          </w:p>
          <w:p w14:paraId="752E5A47" w14:textId="395477D5" w:rsidR="002B4569" w:rsidRPr="002412B0" w:rsidRDefault="00000000" w:rsidP="002412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412B0">
              <w:rPr>
                <w:rFonts w:ascii="Times New Roman" w:hAnsi="Times New Roman" w:cs="Times New Roman"/>
              </w:rPr>
              <w:t>Contratação de empresa especializada em obras e serviços de engenharia para execução, de muros de contenção em blocos de concreto estrutural e estrutura de concreto armado, com serviços complementares de drenagem pluvial e cercamento, nas Áreas Verdes nº 02 e 03 do Núcleo Residencial COHAB, Bairro Nossa Senhora do Rosário, Palmitos/SC, em cumprimento de condicionante da Autorização Ambiental CONDER nº 10.420/2024, conforme memorial de cálculo, projeto estrutural, planilha orçamentária</w:t>
            </w:r>
            <w:r w:rsidR="00C90F06">
              <w:rPr>
                <w:rFonts w:ascii="Times New Roman" w:hAnsi="Times New Roman" w:cs="Times New Roman"/>
              </w:rPr>
              <w:t xml:space="preserve"> e</w:t>
            </w:r>
            <w:r w:rsidRPr="002412B0">
              <w:rPr>
                <w:rFonts w:ascii="Times New Roman" w:hAnsi="Times New Roman" w:cs="Times New Roman"/>
              </w:rPr>
              <w:t xml:space="preserve"> cronograma físico-financeiro.</w:t>
            </w:r>
          </w:p>
        </w:tc>
      </w:tr>
    </w:tbl>
    <w:p w14:paraId="52EEFF1C" w14:textId="77777777" w:rsidR="006F62C8" w:rsidRPr="002412B0" w:rsidRDefault="006F62C8" w:rsidP="002412B0">
      <w:pPr>
        <w:widowControl w:val="0"/>
        <w:autoSpaceDE w:val="0"/>
        <w:autoSpaceDN w:val="0"/>
        <w:spacing w:after="0" w:line="240" w:lineRule="auto"/>
        <w:ind w:right="191"/>
        <w:jc w:val="right"/>
        <w:rPr>
          <w:rFonts w:ascii="Times New Roman" w:eastAsia="Arial MT" w:hAnsi="Times New Roman" w:cs="Times New Roman"/>
        </w:rPr>
      </w:pPr>
    </w:p>
    <w:p w14:paraId="35BDB754" w14:textId="22EF86B5" w:rsidR="00AA323C" w:rsidRPr="002412B0" w:rsidRDefault="00602A13" w:rsidP="002412B0">
      <w:pPr>
        <w:widowControl w:val="0"/>
        <w:autoSpaceDE w:val="0"/>
        <w:autoSpaceDN w:val="0"/>
        <w:spacing w:after="0" w:line="240" w:lineRule="auto"/>
        <w:ind w:right="191"/>
        <w:jc w:val="right"/>
        <w:rPr>
          <w:rFonts w:ascii="Times New Roman" w:eastAsia="Arial MT" w:hAnsi="Times New Roman" w:cs="Times New Roman"/>
          <w:b/>
        </w:rPr>
      </w:pPr>
      <w:r w:rsidRPr="002412B0">
        <w:rPr>
          <w:rFonts w:ascii="Times New Roman" w:hAnsi="Times New Roman" w:cs="Times New Roman"/>
        </w:rPr>
        <w:t xml:space="preserve">Palmitos/SC, </w:t>
      </w:r>
      <w:r w:rsidR="00CC3A6B">
        <w:rPr>
          <w:rFonts w:ascii="Times New Roman" w:hAnsi="Times New Roman" w:cs="Times New Roman"/>
        </w:rPr>
        <w:t>1</w:t>
      </w:r>
      <w:r w:rsidRPr="002412B0">
        <w:rPr>
          <w:rFonts w:ascii="Times New Roman" w:hAnsi="Times New Roman" w:cs="Times New Roman"/>
        </w:rPr>
        <w:t xml:space="preserve"> de </w:t>
      </w:r>
      <w:r w:rsidR="00CC3A6B">
        <w:rPr>
          <w:rFonts w:ascii="Times New Roman" w:hAnsi="Times New Roman" w:cs="Times New Roman"/>
        </w:rPr>
        <w:t>setembro</w:t>
      </w:r>
      <w:r w:rsidRPr="002412B0">
        <w:rPr>
          <w:rFonts w:ascii="Times New Roman" w:hAnsi="Times New Roman" w:cs="Times New Roman"/>
        </w:rPr>
        <w:t xml:space="preserve"> de 2026.</w:t>
      </w:r>
    </w:p>
    <w:p w14:paraId="4A2EE968" w14:textId="77777777" w:rsidR="002D79E8" w:rsidRPr="002412B0" w:rsidRDefault="002D79E8" w:rsidP="002412B0">
      <w:pPr>
        <w:spacing w:after="0" w:line="240" w:lineRule="auto"/>
        <w:ind w:right="191"/>
        <w:rPr>
          <w:rFonts w:ascii="Times New Roman" w:eastAsia="Arial MT" w:hAnsi="Times New Roman" w:cs="Times New Roman"/>
        </w:rPr>
      </w:pPr>
    </w:p>
    <w:p w14:paraId="04BD1719" w14:textId="77777777" w:rsidR="00772C17" w:rsidRPr="002412B0" w:rsidRDefault="00772C17" w:rsidP="002412B0">
      <w:pPr>
        <w:spacing w:after="0" w:line="240" w:lineRule="auto"/>
        <w:ind w:right="191"/>
        <w:rPr>
          <w:rFonts w:ascii="Times New Roman" w:eastAsia="Arial MT" w:hAnsi="Times New Roman" w:cs="Times New Roman"/>
        </w:rPr>
      </w:pPr>
    </w:p>
    <w:p w14:paraId="652BC52A" w14:textId="77777777" w:rsidR="00772C17" w:rsidRPr="002412B0" w:rsidRDefault="00772C17" w:rsidP="002412B0">
      <w:pPr>
        <w:spacing w:after="0" w:line="240" w:lineRule="auto"/>
        <w:ind w:right="191"/>
        <w:rPr>
          <w:rFonts w:ascii="Times New Roman" w:eastAsia="Arial MT" w:hAnsi="Times New Roman" w:cs="Times New Roman"/>
        </w:rPr>
      </w:pPr>
    </w:p>
    <w:p w14:paraId="5B37C71B" w14:textId="77777777" w:rsidR="00772C17" w:rsidRPr="002412B0" w:rsidRDefault="00772C17" w:rsidP="002412B0">
      <w:pPr>
        <w:spacing w:after="0" w:line="240" w:lineRule="auto"/>
        <w:ind w:right="191"/>
        <w:rPr>
          <w:rFonts w:ascii="Times New Roman" w:eastAsia="Arial MT" w:hAnsi="Times New Roman" w:cs="Times New Roman"/>
        </w:rPr>
      </w:pPr>
    </w:p>
    <w:p w14:paraId="05DE3167" w14:textId="77777777" w:rsidR="00AA323C" w:rsidRPr="002412B0" w:rsidRDefault="00602A13" w:rsidP="002412B0">
      <w:pPr>
        <w:spacing w:after="0" w:line="240" w:lineRule="auto"/>
        <w:ind w:right="191"/>
        <w:jc w:val="center"/>
        <w:rPr>
          <w:rFonts w:ascii="Times New Roman" w:eastAsia="Arial MT" w:hAnsi="Times New Roman" w:cs="Times New Roman"/>
        </w:rPr>
      </w:pPr>
      <w:r w:rsidRPr="002412B0">
        <w:rPr>
          <w:rFonts w:ascii="Times New Roman" w:eastAsia="Arial MT" w:hAnsi="Times New Roman" w:cs="Times New Roman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16DE7A" wp14:editId="50DB22F4">
                <wp:simplePos x="0" y="0"/>
                <wp:positionH relativeFrom="column">
                  <wp:posOffset>1231900</wp:posOffset>
                </wp:positionH>
                <wp:positionV relativeFrom="paragraph">
                  <wp:posOffset>92710</wp:posOffset>
                </wp:positionV>
                <wp:extent cx="2952750" cy="9525"/>
                <wp:effectExtent l="0" t="0" r="0" b="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95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08C131" id="Conector Reto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pt,7.3pt" to="329.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" strokeweight=".5pt">
                <v:stroke joinstyle="miter"/>
              </v:line>
            </w:pict>
          </mc:Fallback>
        </mc:AlternateContent>
      </w:r>
    </w:p>
    <w:p w14:paraId="3819E0AF" w14:textId="77777777" w:rsidR="009E3BF6" w:rsidRPr="002412B0" w:rsidRDefault="009E3BF6" w:rsidP="002412B0">
      <w:pPr>
        <w:tabs>
          <w:tab w:val="left" w:pos="1635"/>
        </w:tabs>
        <w:spacing w:after="0" w:line="240" w:lineRule="auto"/>
        <w:ind w:right="191"/>
        <w:jc w:val="center"/>
        <w:rPr>
          <w:rFonts w:ascii="Times New Roman" w:hAnsi="Times New Roman" w:cs="Times New Roman"/>
          <w:b/>
          <w:bCs/>
        </w:rPr>
      </w:pPr>
      <w:r w:rsidRPr="002412B0">
        <w:rPr>
          <w:rFonts w:ascii="Times New Roman" w:hAnsi="Times New Roman" w:cs="Times New Roman"/>
          <w:b/>
          <w:bCs/>
        </w:rPr>
        <w:t>CARLOS SCHLEMMER </w:t>
      </w:r>
    </w:p>
    <w:p w14:paraId="53CD701E" w14:textId="77777777" w:rsidR="00AA323C" w:rsidRPr="002412B0" w:rsidRDefault="009E3BF6" w:rsidP="002412B0">
      <w:pPr>
        <w:tabs>
          <w:tab w:val="left" w:pos="1635"/>
        </w:tabs>
        <w:spacing w:after="0" w:line="240" w:lineRule="auto"/>
        <w:ind w:right="191"/>
        <w:jc w:val="center"/>
        <w:rPr>
          <w:rFonts w:ascii="Times New Roman" w:hAnsi="Times New Roman" w:cs="Times New Roman"/>
        </w:rPr>
      </w:pPr>
      <w:r w:rsidRPr="002412B0">
        <w:rPr>
          <w:rFonts w:ascii="Times New Roman" w:hAnsi="Times New Roman" w:cs="Times New Roman"/>
        </w:rPr>
        <w:t>Secretário Municipal de Transportes, Obras e Serviços Públicos</w:t>
      </w:r>
    </w:p>
    <w:sectPr w:rsidR="00AA323C" w:rsidRPr="002412B0" w:rsidSect="006836D6">
      <w:headerReference w:type="default" r:id="rId9"/>
      <w:pgSz w:w="11906" w:h="16838"/>
      <w:pgMar w:top="2524" w:right="1701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C88A" w14:textId="77777777" w:rsidR="006423BE" w:rsidRDefault="006423BE">
      <w:pPr>
        <w:spacing w:line="240" w:lineRule="auto"/>
      </w:pPr>
      <w:r>
        <w:separator/>
      </w:r>
    </w:p>
  </w:endnote>
  <w:endnote w:type="continuationSeparator" w:id="0">
    <w:p w14:paraId="2BA39CA6" w14:textId="77777777" w:rsidR="006423BE" w:rsidRDefault="006423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NewRomanPS-BoldMT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F6CB" w14:textId="77777777" w:rsidR="006423BE" w:rsidRDefault="006423BE">
      <w:pPr>
        <w:spacing w:after="0"/>
      </w:pPr>
      <w:r>
        <w:separator/>
      </w:r>
    </w:p>
  </w:footnote>
  <w:footnote w:type="continuationSeparator" w:id="0">
    <w:p w14:paraId="3770FD88" w14:textId="77777777" w:rsidR="006423BE" w:rsidRDefault="006423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9F924" w14:textId="77777777" w:rsidR="00AA323C" w:rsidRDefault="00602A1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96258B8" wp14:editId="5CF26FB2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58100" cy="10688320"/>
          <wp:effectExtent l="0" t="0" r="0" b="0"/>
          <wp:wrapNone/>
          <wp:docPr id="16880744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826" cy="10718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7B5B7" w14:textId="77777777" w:rsidR="00AA323C" w:rsidRDefault="00AA32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054DB4C"/>
    <w:multiLevelType w:val="singleLevel"/>
    <w:tmpl w:val="62A60FAA"/>
    <w:lvl w:ilvl="0">
      <w:start w:val="1"/>
      <w:numFmt w:val="decimal"/>
      <w:suff w:val="space"/>
      <w:lvlText w:val="%1."/>
      <w:lvlJc w:val="left"/>
      <w:pPr>
        <w:ind w:left="1265" w:hanging="425"/>
      </w:pPr>
      <w:rPr>
        <w:rFonts w:hint="default"/>
        <w:b/>
        <w:bCs/>
      </w:rPr>
    </w:lvl>
  </w:abstractNum>
  <w:abstractNum w:abstractNumId="1" w15:restartNumberingAfterBreak="0">
    <w:nsid w:val="02D72D5B"/>
    <w:multiLevelType w:val="multilevel"/>
    <w:tmpl w:val="7F0E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B3696"/>
    <w:multiLevelType w:val="multilevel"/>
    <w:tmpl w:val="9E0A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C66B3"/>
    <w:multiLevelType w:val="multilevel"/>
    <w:tmpl w:val="7744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9FB7D"/>
    <w:multiLevelType w:val="singleLevel"/>
    <w:tmpl w:val="2659FB7D"/>
    <w:lvl w:ilvl="0">
      <w:start w:val="1"/>
      <w:numFmt w:val="lowerLetter"/>
      <w:suff w:val="space"/>
      <w:lvlText w:val="%1)"/>
      <w:lvlJc w:val="left"/>
      <w:rPr>
        <w:rFonts w:hint="default"/>
        <w:b/>
        <w:bCs/>
      </w:rPr>
    </w:lvl>
  </w:abstractNum>
  <w:abstractNum w:abstractNumId="5" w15:restartNumberingAfterBreak="0">
    <w:nsid w:val="3E4938B9"/>
    <w:multiLevelType w:val="hybridMultilevel"/>
    <w:tmpl w:val="BBAAEA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47BF4"/>
    <w:multiLevelType w:val="hybridMultilevel"/>
    <w:tmpl w:val="3AF09674"/>
    <w:lvl w:ilvl="0" w:tplc="0416000F">
      <w:start w:val="1"/>
      <w:numFmt w:val="decimal"/>
      <w:lvlText w:val="%1."/>
      <w:lvlJc w:val="left"/>
      <w:pPr>
        <w:ind w:left="830" w:hanging="360"/>
      </w:pPr>
    </w:lvl>
    <w:lvl w:ilvl="1" w:tplc="04160019" w:tentative="1">
      <w:start w:val="1"/>
      <w:numFmt w:val="lowerLetter"/>
      <w:lvlText w:val="%2."/>
      <w:lvlJc w:val="left"/>
      <w:pPr>
        <w:ind w:left="1550" w:hanging="360"/>
      </w:pPr>
    </w:lvl>
    <w:lvl w:ilvl="2" w:tplc="0416001B" w:tentative="1">
      <w:start w:val="1"/>
      <w:numFmt w:val="lowerRoman"/>
      <w:lvlText w:val="%3."/>
      <w:lvlJc w:val="right"/>
      <w:pPr>
        <w:ind w:left="2270" w:hanging="180"/>
      </w:pPr>
    </w:lvl>
    <w:lvl w:ilvl="3" w:tplc="0416000F" w:tentative="1">
      <w:start w:val="1"/>
      <w:numFmt w:val="decimal"/>
      <w:lvlText w:val="%4."/>
      <w:lvlJc w:val="left"/>
      <w:pPr>
        <w:ind w:left="2990" w:hanging="360"/>
      </w:pPr>
    </w:lvl>
    <w:lvl w:ilvl="4" w:tplc="04160019" w:tentative="1">
      <w:start w:val="1"/>
      <w:numFmt w:val="lowerLetter"/>
      <w:lvlText w:val="%5."/>
      <w:lvlJc w:val="left"/>
      <w:pPr>
        <w:ind w:left="3710" w:hanging="360"/>
      </w:pPr>
    </w:lvl>
    <w:lvl w:ilvl="5" w:tplc="0416001B" w:tentative="1">
      <w:start w:val="1"/>
      <w:numFmt w:val="lowerRoman"/>
      <w:lvlText w:val="%6."/>
      <w:lvlJc w:val="right"/>
      <w:pPr>
        <w:ind w:left="4430" w:hanging="180"/>
      </w:pPr>
    </w:lvl>
    <w:lvl w:ilvl="6" w:tplc="0416000F" w:tentative="1">
      <w:start w:val="1"/>
      <w:numFmt w:val="decimal"/>
      <w:lvlText w:val="%7."/>
      <w:lvlJc w:val="left"/>
      <w:pPr>
        <w:ind w:left="5150" w:hanging="360"/>
      </w:pPr>
    </w:lvl>
    <w:lvl w:ilvl="7" w:tplc="04160019" w:tentative="1">
      <w:start w:val="1"/>
      <w:numFmt w:val="lowerLetter"/>
      <w:lvlText w:val="%8."/>
      <w:lvlJc w:val="left"/>
      <w:pPr>
        <w:ind w:left="5870" w:hanging="360"/>
      </w:pPr>
    </w:lvl>
    <w:lvl w:ilvl="8" w:tplc="0416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7" w15:restartNumberingAfterBreak="0">
    <w:nsid w:val="41B159EF"/>
    <w:multiLevelType w:val="hybridMultilevel"/>
    <w:tmpl w:val="FEFE15E2"/>
    <w:lvl w:ilvl="0" w:tplc="0416000F">
      <w:start w:val="1"/>
      <w:numFmt w:val="decimal"/>
      <w:lvlText w:val="%1."/>
      <w:lvlJc w:val="left"/>
      <w:pPr>
        <w:ind w:left="830" w:hanging="360"/>
      </w:pPr>
    </w:lvl>
    <w:lvl w:ilvl="1" w:tplc="04160019" w:tentative="1">
      <w:start w:val="1"/>
      <w:numFmt w:val="lowerLetter"/>
      <w:lvlText w:val="%2."/>
      <w:lvlJc w:val="left"/>
      <w:pPr>
        <w:ind w:left="1550" w:hanging="360"/>
      </w:pPr>
    </w:lvl>
    <w:lvl w:ilvl="2" w:tplc="0416001B" w:tentative="1">
      <w:start w:val="1"/>
      <w:numFmt w:val="lowerRoman"/>
      <w:lvlText w:val="%3."/>
      <w:lvlJc w:val="right"/>
      <w:pPr>
        <w:ind w:left="2270" w:hanging="180"/>
      </w:pPr>
    </w:lvl>
    <w:lvl w:ilvl="3" w:tplc="0416000F" w:tentative="1">
      <w:start w:val="1"/>
      <w:numFmt w:val="decimal"/>
      <w:lvlText w:val="%4."/>
      <w:lvlJc w:val="left"/>
      <w:pPr>
        <w:ind w:left="2990" w:hanging="360"/>
      </w:pPr>
    </w:lvl>
    <w:lvl w:ilvl="4" w:tplc="04160019" w:tentative="1">
      <w:start w:val="1"/>
      <w:numFmt w:val="lowerLetter"/>
      <w:lvlText w:val="%5."/>
      <w:lvlJc w:val="left"/>
      <w:pPr>
        <w:ind w:left="3710" w:hanging="360"/>
      </w:pPr>
    </w:lvl>
    <w:lvl w:ilvl="5" w:tplc="0416001B" w:tentative="1">
      <w:start w:val="1"/>
      <w:numFmt w:val="lowerRoman"/>
      <w:lvlText w:val="%6."/>
      <w:lvlJc w:val="right"/>
      <w:pPr>
        <w:ind w:left="4430" w:hanging="180"/>
      </w:pPr>
    </w:lvl>
    <w:lvl w:ilvl="6" w:tplc="0416000F" w:tentative="1">
      <w:start w:val="1"/>
      <w:numFmt w:val="decimal"/>
      <w:lvlText w:val="%7."/>
      <w:lvlJc w:val="left"/>
      <w:pPr>
        <w:ind w:left="5150" w:hanging="360"/>
      </w:pPr>
    </w:lvl>
    <w:lvl w:ilvl="7" w:tplc="04160019" w:tentative="1">
      <w:start w:val="1"/>
      <w:numFmt w:val="lowerLetter"/>
      <w:lvlText w:val="%8."/>
      <w:lvlJc w:val="left"/>
      <w:pPr>
        <w:ind w:left="5870" w:hanging="360"/>
      </w:pPr>
    </w:lvl>
    <w:lvl w:ilvl="8" w:tplc="0416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8" w15:restartNumberingAfterBreak="0">
    <w:nsid w:val="4B704001"/>
    <w:multiLevelType w:val="multilevel"/>
    <w:tmpl w:val="4B704001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19D40F2"/>
    <w:multiLevelType w:val="multilevel"/>
    <w:tmpl w:val="855A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C4C78"/>
    <w:multiLevelType w:val="hybridMultilevel"/>
    <w:tmpl w:val="ABEC3290"/>
    <w:lvl w:ilvl="0" w:tplc="0416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1" w15:restartNumberingAfterBreak="0">
    <w:nsid w:val="54FE5458"/>
    <w:multiLevelType w:val="multilevel"/>
    <w:tmpl w:val="02C80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818AE"/>
    <w:multiLevelType w:val="multilevel"/>
    <w:tmpl w:val="A796CECA"/>
    <w:lvl w:ilvl="0">
      <w:start w:val="1"/>
      <w:numFmt w:val="upperRoman"/>
      <w:suff w:val="space"/>
      <w:lvlText w:val="%1 - 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suff w:val="space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5E46628"/>
    <w:multiLevelType w:val="multilevel"/>
    <w:tmpl w:val="A9D2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DBA2F"/>
    <w:multiLevelType w:val="singleLevel"/>
    <w:tmpl w:val="5B2DBA2F"/>
    <w:lvl w:ilvl="0">
      <w:start w:val="2"/>
      <w:numFmt w:val="decimal"/>
      <w:suff w:val="space"/>
      <w:lvlText w:val="%1."/>
      <w:lvlJc w:val="left"/>
    </w:lvl>
  </w:abstractNum>
  <w:abstractNum w:abstractNumId="15" w15:restartNumberingAfterBreak="0">
    <w:nsid w:val="62163CDF"/>
    <w:multiLevelType w:val="multilevel"/>
    <w:tmpl w:val="D74A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5A1409"/>
    <w:multiLevelType w:val="hybridMultilevel"/>
    <w:tmpl w:val="C6065870"/>
    <w:lvl w:ilvl="0" w:tplc="0416000F">
      <w:start w:val="1"/>
      <w:numFmt w:val="decimal"/>
      <w:lvlText w:val="%1."/>
      <w:lvlJc w:val="left"/>
      <w:pPr>
        <w:ind w:left="830" w:hanging="360"/>
      </w:pPr>
    </w:lvl>
    <w:lvl w:ilvl="1" w:tplc="04160019" w:tentative="1">
      <w:start w:val="1"/>
      <w:numFmt w:val="lowerLetter"/>
      <w:lvlText w:val="%2."/>
      <w:lvlJc w:val="left"/>
      <w:pPr>
        <w:ind w:left="1550" w:hanging="360"/>
      </w:pPr>
    </w:lvl>
    <w:lvl w:ilvl="2" w:tplc="0416001B" w:tentative="1">
      <w:start w:val="1"/>
      <w:numFmt w:val="lowerRoman"/>
      <w:lvlText w:val="%3."/>
      <w:lvlJc w:val="right"/>
      <w:pPr>
        <w:ind w:left="2270" w:hanging="180"/>
      </w:pPr>
    </w:lvl>
    <w:lvl w:ilvl="3" w:tplc="0416000F" w:tentative="1">
      <w:start w:val="1"/>
      <w:numFmt w:val="decimal"/>
      <w:lvlText w:val="%4."/>
      <w:lvlJc w:val="left"/>
      <w:pPr>
        <w:ind w:left="2990" w:hanging="360"/>
      </w:pPr>
    </w:lvl>
    <w:lvl w:ilvl="4" w:tplc="04160019" w:tentative="1">
      <w:start w:val="1"/>
      <w:numFmt w:val="lowerLetter"/>
      <w:lvlText w:val="%5."/>
      <w:lvlJc w:val="left"/>
      <w:pPr>
        <w:ind w:left="3710" w:hanging="360"/>
      </w:pPr>
    </w:lvl>
    <w:lvl w:ilvl="5" w:tplc="0416001B" w:tentative="1">
      <w:start w:val="1"/>
      <w:numFmt w:val="lowerRoman"/>
      <w:lvlText w:val="%6."/>
      <w:lvlJc w:val="right"/>
      <w:pPr>
        <w:ind w:left="4430" w:hanging="180"/>
      </w:pPr>
    </w:lvl>
    <w:lvl w:ilvl="6" w:tplc="0416000F" w:tentative="1">
      <w:start w:val="1"/>
      <w:numFmt w:val="decimal"/>
      <w:lvlText w:val="%7."/>
      <w:lvlJc w:val="left"/>
      <w:pPr>
        <w:ind w:left="5150" w:hanging="360"/>
      </w:pPr>
    </w:lvl>
    <w:lvl w:ilvl="7" w:tplc="04160019" w:tentative="1">
      <w:start w:val="1"/>
      <w:numFmt w:val="lowerLetter"/>
      <w:lvlText w:val="%8."/>
      <w:lvlJc w:val="left"/>
      <w:pPr>
        <w:ind w:left="5870" w:hanging="360"/>
      </w:pPr>
    </w:lvl>
    <w:lvl w:ilvl="8" w:tplc="0416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7" w15:restartNumberingAfterBreak="0">
    <w:nsid w:val="6A87101C"/>
    <w:multiLevelType w:val="multilevel"/>
    <w:tmpl w:val="6A8710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170F0"/>
    <w:multiLevelType w:val="multilevel"/>
    <w:tmpl w:val="02AE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A8449E"/>
    <w:multiLevelType w:val="multilevel"/>
    <w:tmpl w:val="346A2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662517"/>
    <w:multiLevelType w:val="hybridMultilevel"/>
    <w:tmpl w:val="1DCC7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E56F63"/>
    <w:multiLevelType w:val="multilevel"/>
    <w:tmpl w:val="D0EA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53519D"/>
    <w:multiLevelType w:val="multilevel"/>
    <w:tmpl w:val="71CAB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AA5D2D"/>
    <w:multiLevelType w:val="multilevel"/>
    <w:tmpl w:val="9410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4E5B4D"/>
    <w:multiLevelType w:val="multilevel"/>
    <w:tmpl w:val="DE34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57053">
    <w:abstractNumId w:val="0"/>
  </w:num>
  <w:num w:numId="2" w16cid:durableId="482551900">
    <w:abstractNumId w:val="17"/>
  </w:num>
  <w:num w:numId="3" w16cid:durableId="1356884307">
    <w:abstractNumId w:val="14"/>
  </w:num>
  <w:num w:numId="4" w16cid:durableId="1747023900">
    <w:abstractNumId w:val="12"/>
  </w:num>
  <w:num w:numId="5" w16cid:durableId="1929921638">
    <w:abstractNumId w:val="4"/>
  </w:num>
  <w:num w:numId="6" w16cid:durableId="819156911">
    <w:abstractNumId w:val="8"/>
  </w:num>
  <w:num w:numId="7" w16cid:durableId="1160074113">
    <w:abstractNumId w:val="10"/>
  </w:num>
  <w:num w:numId="8" w16cid:durableId="83034977">
    <w:abstractNumId w:val="6"/>
  </w:num>
  <w:num w:numId="9" w16cid:durableId="616913834">
    <w:abstractNumId w:val="7"/>
  </w:num>
  <w:num w:numId="10" w16cid:durableId="157580715">
    <w:abstractNumId w:val="16"/>
  </w:num>
  <w:num w:numId="11" w16cid:durableId="1731614667">
    <w:abstractNumId w:val="5"/>
  </w:num>
  <w:num w:numId="12" w16cid:durableId="926839241">
    <w:abstractNumId w:val="20"/>
  </w:num>
  <w:num w:numId="13" w16cid:durableId="1998611837">
    <w:abstractNumId w:val="21"/>
  </w:num>
  <w:num w:numId="14" w16cid:durableId="1129595492">
    <w:abstractNumId w:val="24"/>
  </w:num>
  <w:num w:numId="15" w16cid:durableId="884947840">
    <w:abstractNumId w:val="22"/>
  </w:num>
  <w:num w:numId="16" w16cid:durableId="659893793">
    <w:abstractNumId w:val="2"/>
  </w:num>
  <w:num w:numId="17" w16cid:durableId="177813629">
    <w:abstractNumId w:val="9"/>
  </w:num>
  <w:num w:numId="18" w16cid:durableId="1171018962">
    <w:abstractNumId w:val="15"/>
  </w:num>
  <w:num w:numId="19" w16cid:durableId="511845649">
    <w:abstractNumId w:val="11"/>
  </w:num>
  <w:num w:numId="20" w16cid:durableId="1034497086">
    <w:abstractNumId w:val="3"/>
  </w:num>
  <w:num w:numId="21" w16cid:durableId="1920089381">
    <w:abstractNumId w:val="23"/>
  </w:num>
  <w:num w:numId="22" w16cid:durableId="1277326956">
    <w:abstractNumId w:val="1"/>
  </w:num>
  <w:num w:numId="23" w16cid:durableId="428888700">
    <w:abstractNumId w:val="13"/>
  </w:num>
  <w:num w:numId="24" w16cid:durableId="417337217">
    <w:abstractNumId w:val="18"/>
  </w:num>
  <w:num w:numId="25" w16cid:durableId="3228530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95"/>
    <w:rsid w:val="000215A5"/>
    <w:rsid w:val="000306BC"/>
    <w:rsid w:val="00054661"/>
    <w:rsid w:val="000A432A"/>
    <w:rsid w:val="000B3243"/>
    <w:rsid w:val="00110E67"/>
    <w:rsid w:val="00163821"/>
    <w:rsid w:val="0018415D"/>
    <w:rsid w:val="001854FD"/>
    <w:rsid w:val="00193362"/>
    <w:rsid w:val="001B00FD"/>
    <w:rsid w:val="001D1EED"/>
    <w:rsid w:val="002252BB"/>
    <w:rsid w:val="002412B0"/>
    <w:rsid w:val="00272B46"/>
    <w:rsid w:val="002879F8"/>
    <w:rsid w:val="002B0498"/>
    <w:rsid w:val="002B4569"/>
    <w:rsid w:val="002D79E8"/>
    <w:rsid w:val="00306C53"/>
    <w:rsid w:val="00311215"/>
    <w:rsid w:val="00312FA2"/>
    <w:rsid w:val="00325623"/>
    <w:rsid w:val="003443D1"/>
    <w:rsid w:val="00360C68"/>
    <w:rsid w:val="00377DD7"/>
    <w:rsid w:val="003A3C9F"/>
    <w:rsid w:val="003D743E"/>
    <w:rsid w:val="003F2DA1"/>
    <w:rsid w:val="004170CC"/>
    <w:rsid w:val="00461005"/>
    <w:rsid w:val="004648C1"/>
    <w:rsid w:val="00482656"/>
    <w:rsid w:val="004B1AD9"/>
    <w:rsid w:val="004E2F0A"/>
    <w:rsid w:val="004E63B2"/>
    <w:rsid w:val="00526573"/>
    <w:rsid w:val="00595EB7"/>
    <w:rsid w:val="005A1D1A"/>
    <w:rsid w:val="00602A13"/>
    <w:rsid w:val="00614E02"/>
    <w:rsid w:val="006259A5"/>
    <w:rsid w:val="00636746"/>
    <w:rsid w:val="006423BE"/>
    <w:rsid w:val="00660D42"/>
    <w:rsid w:val="00673DD4"/>
    <w:rsid w:val="006836D6"/>
    <w:rsid w:val="006D10B9"/>
    <w:rsid w:val="006F62C8"/>
    <w:rsid w:val="00701F2E"/>
    <w:rsid w:val="00707E88"/>
    <w:rsid w:val="0076657E"/>
    <w:rsid w:val="00767804"/>
    <w:rsid w:val="00772C17"/>
    <w:rsid w:val="007849E5"/>
    <w:rsid w:val="007E0E76"/>
    <w:rsid w:val="007E1A39"/>
    <w:rsid w:val="008167C8"/>
    <w:rsid w:val="008B4C73"/>
    <w:rsid w:val="00926484"/>
    <w:rsid w:val="0095174F"/>
    <w:rsid w:val="00952D20"/>
    <w:rsid w:val="00964A9F"/>
    <w:rsid w:val="009D3413"/>
    <w:rsid w:val="009E3BF6"/>
    <w:rsid w:val="00A01195"/>
    <w:rsid w:val="00A20680"/>
    <w:rsid w:val="00A26FB3"/>
    <w:rsid w:val="00A27903"/>
    <w:rsid w:val="00A551FD"/>
    <w:rsid w:val="00A864A7"/>
    <w:rsid w:val="00AA323C"/>
    <w:rsid w:val="00AC0768"/>
    <w:rsid w:val="00AD3C24"/>
    <w:rsid w:val="00B440E0"/>
    <w:rsid w:val="00B6489B"/>
    <w:rsid w:val="00B75EF8"/>
    <w:rsid w:val="00B85947"/>
    <w:rsid w:val="00BD2B81"/>
    <w:rsid w:val="00C04EF5"/>
    <w:rsid w:val="00C90F06"/>
    <w:rsid w:val="00CC3A6B"/>
    <w:rsid w:val="00CE40C6"/>
    <w:rsid w:val="00CF4B53"/>
    <w:rsid w:val="00D0647B"/>
    <w:rsid w:val="00D13E77"/>
    <w:rsid w:val="00D40088"/>
    <w:rsid w:val="00D60A23"/>
    <w:rsid w:val="00DB066C"/>
    <w:rsid w:val="00DB6598"/>
    <w:rsid w:val="00DD0C7D"/>
    <w:rsid w:val="00DD5045"/>
    <w:rsid w:val="00DD59C6"/>
    <w:rsid w:val="00E0782B"/>
    <w:rsid w:val="00E25B60"/>
    <w:rsid w:val="00E3386A"/>
    <w:rsid w:val="00E61CC9"/>
    <w:rsid w:val="00EB7A99"/>
    <w:rsid w:val="00EC33A0"/>
    <w:rsid w:val="00EE390A"/>
    <w:rsid w:val="00EE6424"/>
    <w:rsid w:val="00F04D9C"/>
    <w:rsid w:val="00F445CC"/>
    <w:rsid w:val="00F673B4"/>
    <w:rsid w:val="00F719FA"/>
    <w:rsid w:val="00F92EFC"/>
    <w:rsid w:val="00FC408D"/>
    <w:rsid w:val="01485F37"/>
    <w:rsid w:val="033A26A7"/>
    <w:rsid w:val="05022EDE"/>
    <w:rsid w:val="07831A82"/>
    <w:rsid w:val="07BC033E"/>
    <w:rsid w:val="085E4D8B"/>
    <w:rsid w:val="0DC31B68"/>
    <w:rsid w:val="0EDE4FB3"/>
    <w:rsid w:val="111D1398"/>
    <w:rsid w:val="17333412"/>
    <w:rsid w:val="194A7E42"/>
    <w:rsid w:val="1A8F0322"/>
    <w:rsid w:val="1EAB6ADD"/>
    <w:rsid w:val="21C731C6"/>
    <w:rsid w:val="224836E7"/>
    <w:rsid w:val="2522355A"/>
    <w:rsid w:val="26155261"/>
    <w:rsid w:val="2C2950DF"/>
    <w:rsid w:val="2ED06332"/>
    <w:rsid w:val="309F5AA4"/>
    <w:rsid w:val="37B5551C"/>
    <w:rsid w:val="38432EC4"/>
    <w:rsid w:val="3EED5856"/>
    <w:rsid w:val="41225B71"/>
    <w:rsid w:val="43823E4F"/>
    <w:rsid w:val="43B32F53"/>
    <w:rsid w:val="46613CA4"/>
    <w:rsid w:val="46E2690E"/>
    <w:rsid w:val="58190F36"/>
    <w:rsid w:val="5BA47F27"/>
    <w:rsid w:val="6F0E2F12"/>
    <w:rsid w:val="7411625C"/>
    <w:rsid w:val="74EF0AD7"/>
    <w:rsid w:val="752955F1"/>
    <w:rsid w:val="77AC46E5"/>
    <w:rsid w:val="7A360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1E7DE1B"/>
  <w15:docId w15:val="{EFA5569E-759B-49F0-99D9-4AB35ED9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 w:line="480" w:lineRule="auto"/>
      <w:jc w:val="both"/>
      <w:outlineLvl w:val="0"/>
    </w:pPr>
    <w:rPr>
      <w:rFonts w:ascii="Arial" w:eastAsia="Times New Roman" w:hAnsi="Arial"/>
      <w:b/>
      <w:sz w:val="24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49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70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6"/>
      <w:szCs w:val="26"/>
      <w:lang w:val="pt-PT"/>
    </w:rPr>
  </w:style>
  <w:style w:type="paragraph" w:styleId="TextosemFormatao">
    <w:name w:val="Plain Text"/>
    <w:basedOn w:val="Normal"/>
    <w:qFormat/>
    <w:pPr>
      <w:jc w:val="both"/>
    </w:pPr>
    <w:rPr>
      <w:rFonts w:ascii="Courier New" w:hAnsi="Courier New"/>
      <w:sz w:val="20"/>
      <w:szCs w:val="20"/>
      <w:lang w:val="zh-CN"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Calibri" w:eastAsia="Calibri" w:hAnsi="Calibri" w:cs="Calibri"/>
      <w:sz w:val="26"/>
      <w:szCs w:val="26"/>
      <w:lang w:val="pt-PT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qFormat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Arial MT" w:eastAsia="Arial MT" w:hAnsi="Arial MT" w:cs="Arial MT"/>
      <w:lang w:val="pt-PT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semiHidden/>
    <w:rsid w:val="007849E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D3C2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D3C24"/>
    <w:rPr>
      <w:rFonts w:asciiTheme="minorHAnsi" w:eastAsiaTheme="minorHAnsi" w:hAnsiTheme="minorHAnsi" w:cstheme="minorBidi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D3C24"/>
    <w:rPr>
      <w:vertAlign w:val="superscri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70CC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1F6AF4-E502-4E51-87D2-4B4E9F71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15</Pages>
  <Words>9002</Words>
  <Characters>48617</Characters>
  <Application>Microsoft Office Word</Application>
  <DocSecurity>0</DocSecurity>
  <Lines>405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ANDRESSA TRIACCA</cp:lastModifiedBy>
  <cp:revision>25</cp:revision>
  <cp:lastPrinted>2026-02-26T14:01:00Z</cp:lastPrinted>
  <dcterms:created xsi:type="dcterms:W3CDTF">2026-06-03T17:29:00Z</dcterms:created>
  <dcterms:modified xsi:type="dcterms:W3CDTF">2026-09-01T18:13:00Z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3966A5088DE244A7858009D7439C6755_13</vt:lpwstr>
  </property>
</Properties>
</file>