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AB979" w14:textId="77777777" w:rsidR="0023179C" w:rsidRDefault="00CD3728" w:rsidP="00143ECF">
      <w:pPr>
        <w:spacing w:after="0" w:line="240" w:lineRule="auto"/>
        <w:jc w:val="center"/>
      </w:pPr>
      <w:r>
        <w:rPr>
          <w:rFonts w:ascii="Times New Roman" w:eastAsia="Times New Roman" w:hAnsi="Times New Roman"/>
          <w:b/>
          <w:bCs/>
        </w:rPr>
        <w:t>SECRETARIA MUNICIPAL DE AGRICULTURA E MEIO AMBIENTE</w:t>
      </w:r>
    </w:p>
    <w:p w14:paraId="058A5A4F" w14:textId="1891E887" w:rsidR="0023179C" w:rsidRDefault="00CD3728" w:rsidP="00143ECF">
      <w:pPr>
        <w:spacing w:after="0" w:line="240" w:lineRule="auto"/>
        <w:jc w:val="center"/>
      </w:pPr>
      <w:r>
        <w:rPr>
          <w:rFonts w:ascii="Times New Roman" w:eastAsia="Times New Roman" w:hAnsi="Times New Roman"/>
          <w:b/>
          <w:bCs/>
        </w:rPr>
        <w:t xml:space="preserve">Solicitação nº </w:t>
      </w:r>
      <w:r w:rsidR="001570AE">
        <w:rPr>
          <w:rFonts w:ascii="Times New Roman" w:eastAsia="Times New Roman" w:hAnsi="Times New Roman"/>
          <w:b/>
          <w:bCs/>
        </w:rPr>
        <w:t>0</w:t>
      </w:r>
      <w:r w:rsidR="00746482">
        <w:rPr>
          <w:rFonts w:ascii="Times New Roman" w:eastAsia="Times New Roman" w:hAnsi="Times New Roman"/>
          <w:b/>
          <w:bCs/>
        </w:rPr>
        <w:t>6</w:t>
      </w:r>
      <w:r>
        <w:rPr>
          <w:rFonts w:ascii="Times New Roman" w:eastAsia="Times New Roman" w:hAnsi="Times New Roman"/>
          <w:b/>
          <w:bCs/>
        </w:rPr>
        <w:t>/2026</w:t>
      </w:r>
    </w:p>
    <w:p w14:paraId="27B74C36" w14:textId="77777777" w:rsidR="0023179C" w:rsidRDefault="0023179C" w:rsidP="00143ECF">
      <w:pPr>
        <w:spacing w:after="0" w:line="240" w:lineRule="auto"/>
        <w:jc w:val="both"/>
      </w:pPr>
    </w:p>
    <w:p w14:paraId="3DF38058" w14:textId="77777777" w:rsidR="0023179C" w:rsidRDefault="00CD3728" w:rsidP="00143ECF">
      <w:pPr>
        <w:spacing w:after="0" w:line="240" w:lineRule="auto"/>
        <w:jc w:val="center"/>
      </w:pPr>
      <w:r>
        <w:rPr>
          <w:rFonts w:ascii="Times New Roman" w:eastAsia="Times New Roman" w:hAnsi="Times New Roman"/>
          <w:b/>
          <w:bCs/>
        </w:rPr>
        <w:t>ESTUDO TÉCNICO PRELIMINAR</w:t>
      </w:r>
    </w:p>
    <w:p w14:paraId="418F89CF" w14:textId="77777777" w:rsidR="0023179C" w:rsidRDefault="0023179C" w:rsidP="00143ECF">
      <w:pPr>
        <w:spacing w:after="0" w:line="240" w:lineRule="auto"/>
        <w:jc w:val="both"/>
      </w:pPr>
    </w:p>
    <w:tbl>
      <w:tblPr>
        <w:tblW w:w="10462" w:type="dxa"/>
        <w:tblInd w:w="-856" w:type="dxa"/>
        <w:tblLayout w:type="fixed"/>
        <w:tblLook w:val="0000" w:firstRow="0" w:lastRow="0" w:firstColumn="0" w:lastColumn="0" w:noHBand="0" w:noVBand="0"/>
      </w:tblPr>
      <w:tblGrid>
        <w:gridCol w:w="822"/>
        <w:gridCol w:w="9640"/>
      </w:tblGrid>
      <w:tr w:rsidR="0023179C" w14:paraId="24B69367" w14:textId="77777777">
        <w:tc>
          <w:tcPr>
            <w:tcW w:w="10462" w:type="dxa"/>
            <w:gridSpan w:val="2"/>
            <w:tcBorders>
              <w:top w:val="single" w:sz="4" w:space="0" w:color="000000"/>
              <w:left w:val="single" w:sz="4" w:space="0" w:color="000000"/>
              <w:bottom w:val="single" w:sz="4" w:space="0" w:color="000000"/>
              <w:right w:val="single" w:sz="4" w:space="0" w:color="000000"/>
            </w:tcBorders>
            <w:shd w:val="clear" w:color="auto" w:fill="D9D9D9"/>
          </w:tcPr>
          <w:p w14:paraId="3AA69BDF" w14:textId="77777777" w:rsidR="0023179C" w:rsidRDefault="00CD3728" w:rsidP="00143ECF">
            <w:pPr>
              <w:spacing w:after="0" w:line="240" w:lineRule="auto"/>
              <w:jc w:val="center"/>
            </w:pPr>
            <w:r>
              <w:rPr>
                <w:rFonts w:ascii="Times New Roman" w:eastAsia="Times New Roman" w:hAnsi="Times New Roman"/>
                <w:b/>
                <w:bCs/>
              </w:rPr>
              <w:t>ELEMENTOS</w:t>
            </w:r>
          </w:p>
        </w:tc>
      </w:tr>
      <w:tr w:rsidR="0023179C" w14:paraId="041BB1CE" w14:textId="77777777">
        <w:tc>
          <w:tcPr>
            <w:tcW w:w="822" w:type="dxa"/>
            <w:tcBorders>
              <w:top w:val="single" w:sz="4" w:space="0" w:color="000000"/>
              <w:left w:val="single" w:sz="4" w:space="0" w:color="000000"/>
              <w:bottom w:val="single" w:sz="4" w:space="0" w:color="000000"/>
              <w:right w:val="single" w:sz="4" w:space="0" w:color="000000"/>
            </w:tcBorders>
          </w:tcPr>
          <w:p w14:paraId="0B41A4A6" w14:textId="77777777" w:rsidR="0023179C" w:rsidRDefault="00CD3728" w:rsidP="00143ECF">
            <w:pPr>
              <w:spacing w:after="0" w:line="240" w:lineRule="auto"/>
              <w:jc w:val="center"/>
            </w:pPr>
            <w:r>
              <w:rPr>
                <w:rFonts w:ascii="Times New Roman" w:eastAsia="Times New Roman" w:hAnsi="Times New Roman"/>
                <w:b/>
                <w:bCs/>
              </w:rPr>
              <w:t>1.</w:t>
            </w:r>
          </w:p>
        </w:tc>
        <w:tc>
          <w:tcPr>
            <w:tcW w:w="9640" w:type="dxa"/>
            <w:tcBorders>
              <w:top w:val="single" w:sz="4" w:space="0" w:color="000000"/>
              <w:left w:val="single" w:sz="4" w:space="0" w:color="000000"/>
              <w:bottom w:val="single" w:sz="4" w:space="0" w:color="000000"/>
              <w:right w:val="single" w:sz="4" w:space="0" w:color="000000"/>
            </w:tcBorders>
          </w:tcPr>
          <w:p w14:paraId="705619B1" w14:textId="77777777" w:rsidR="0023179C" w:rsidRDefault="00CD3728" w:rsidP="00143ECF">
            <w:pPr>
              <w:spacing w:after="0" w:line="240" w:lineRule="auto"/>
              <w:jc w:val="both"/>
            </w:pPr>
            <w:r>
              <w:rPr>
                <w:rFonts w:ascii="Times New Roman" w:eastAsia="Times New Roman" w:hAnsi="Times New Roman"/>
                <w:b/>
                <w:bCs/>
              </w:rPr>
              <w:t>Descrição da necessidade da contratação, considerado o problema a ser resolvido sob a perspectiva do interesse público.</w:t>
            </w:r>
          </w:p>
          <w:p w14:paraId="32248DA4" w14:textId="77777777" w:rsidR="0023179C" w:rsidRDefault="00CD3728" w:rsidP="00143ECF">
            <w:pPr>
              <w:spacing w:after="0" w:line="240" w:lineRule="auto"/>
              <w:jc w:val="both"/>
            </w:pPr>
            <w:r>
              <w:rPr>
                <w:rFonts w:ascii="Times New Roman" w:eastAsia="Times New Roman" w:hAnsi="Times New Roman"/>
              </w:rPr>
              <w:t xml:space="preserve">A presente contratação tem por finalidade atender à necessidade do Município de Palmitos/SC, por intermédio da Secretaria Municipal de Agricultura e Meio Ambiente, quanto à elaboração do conjunto completo de estudos, levantamentos e projetos técnicos de arquitetura e engenharia – em nível básico e executivo, com todas as disciplinas complementares – destinados à construção da </w:t>
            </w:r>
            <w:r>
              <w:rPr>
                <w:rFonts w:ascii="Times New Roman" w:eastAsia="Times New Roman" w:hAnsi="Times New Roman"/>
                <w:b/>
                <w:bCs/>
              </w:rPr>
              <w:t>nova sede da Secretaria Municipal de Agricultura e Meio Ambiente</w:t>
            </w:r>
            <w:r>
              <w:rPr>
                <w:rFonts w:ascii="Times New Roman" w:eastAsia="Times New Roman" w:hAnsi="Times New Roman"/>
              </w:rPr>
              <w:t xml:space="preserve">, edificação com área construída estimada de até 500 m² (quinhentos metros quadrados), dotada de subsolo e estacionamento, bem como à implantação do </w:t>
            </w:r>
            <w:r>
              <w:rPr>
                <w:rFonts w:ascii="Times New Roman" w:eastAsia="Times New Roman" w:hAnsi="Times New Roman"/>
                <w:b/>
                <w:bCs/>
              </w:rPr>
              <w:t>Viveiro Municipal</w:t>
            </w:r>
            <w:r>
              <w:rPr>
                <w:rFonts w:ascii="Times New Roman" w:eastAsia="Times New Roman" w:hAnsi="Times New Roman"/>
              </w:rPr>
              <w:t xml:space="preserve"> e da infraestrutura de estacionamento e de acesso viário vinculada ao empreendimento.</w:t>
            </w:r>
          </w:p>
          <w:p w14:paraId="3F5AAD9C" w14:textId="77777777" w:rsidR="0023179C" w:rsidRDefault="00CD3728" w:rsidP="00143ECF">
            <w:pPr>
              <w:spacing w:after="0" w:line="240" w:lineRule="auto"/>
              <w:jc w:val="both"/>
              <w:rPr>
                <w:rFonts w:ascii="Times New Roman" w:eastAsia="Times New Roman" w:hAnsi="Times New Roman"/>
              </w:rPr>
            </w:pPr>
            <w:r>
              <w:rPr>
                <w:rFonts w:ascii="Times New Roman" w:eastAsia="Times New Roman" w:hAnsi="Times New Roman"/>
              </w:rPr>
              <w:t xml:space="preserve">A nova sede pretende reunir, em um único espaço, os serviços da Secretaria, os postos de atendimento da Empresa de Pesquisa Agropecuária e Extensão Rural de Santa Catarina (EPAGRI) e da Companhia Integrada de Desenvolvimento Agrícola de Santa Catarina (CIDASC), o Programa Municipal de Inseminação e a sala de controle de crises e comando da Defesa Civil, facilitando o atendimento ao produtor rural e à população, que hoje precisa se deslocar entre diferentes pontos para acessar serviços correlatos. </w:t>
            </w:r>
          </w:p>
          <w:p w14:paraId="14C31C21" w14:textId="77777777" w:rsidR="003E5D9E" w:rsidRDefault="003E5D9E" w:rsidP="00143ECF">
            <w:pPr>
              <w:spacing w:after="0" w:line="240" w:lineRule="auto"/>
              <w:jc w:val="both"/>
            </w:pPr>
            <w:r>
              <w:rPr>
                <w:rFonts w:ascii="Times New Roman" w:eastAsia="Times New Roman" w:hAnsi="Times New Roman"/>
              </w:rPr>
              <w:t>Atualmente a Secretaria de agricultura e esses demais órgãos ficam em anexo a Rodoviária Municipal, contudo, diante de um TAC realizado junto ao MPSC, o CAPS do Município precisa de um novo local e o local pretendido seria onde hoje é a secretaria de agricultura, diante disso, faz-se necessária a contratação de empresa para elaboração de projetos para construção de uma nova secretaria de agricultura.</w:t>
            </w:r>
          </w:p>
          <w:p w14:paraId="1C1AEB64" w14:textId="77777777" w:rsidR="0023179C" w:rsidRDefault="00CD3728" w:rsidP="00143ECF">
            <w:pPr>
              <w:spacing w:after="0" w:line="240" w:lineRule="auto"/>
              <w:jc w:val="both"/>
            </w:pPr>
            <w:r>
              <w:rPr>
                <w:rFonts w:ascii="Times New Roman" w:eastAsia="Times New Roman" w:hAnsi="Times New Roman"/>
              </w:rPr>
              <w:t>O Viveiro Municipal, por sua vez, destina-se à produção de mudas para arborização urbana, recuperação de áreas degradadas e de preservação permanente e apoio a programas ambientais e de fomento à agricultura, demandando estufa, área de sombreamento, sistema de irrigação e reservatório de água adequadamente projetados.</w:t>
            </w:r>
          </w:p>
          <w:p w14:paraId="4FC52728" w14:textId="77777777" w:rsidR="0023179C" w:rsidRDefault="00CD3728" w:rsidP="00143ECF">
            <w:pPr>
              <w:spacing w:after="0" w:line="240" w:lineRule="auto"/>
              <w:jc w:val="both"/>
            </w:pPr>
            <w:r>
              <w:rPr>
                <w:rFonts w:ascii="Times New Roman" w:eastAsia="Times New Roman" w:hAnsi="Times New Roman"/>
              </w:rPr>
              <w:t>O Município não dispõe dos projetos técnicos necessários para viabilizar a obra. A ausência de projeto básico e executivo completos e compatibilizados impede a definição precisa do objeto, a estimativa confiável do custo, a obtenção das aprovações e licenças exigíveis (Município, Corpo de Bombeiros, órgão rodoviário) e a instrução de pedidos de captação de recursos, que usualmente exigem projeto e orçamento. Além disso, a Lei nº 14.133/2021 veda, como regra, a execução de obras e serviços de engenharia sem projeto executivo (art. 46, § 1º).</w:t>
            </w:r>
          </w:p>
          <w:p w14:paraId="597BFC7A" w14:textId="77777777" w:rsidR="0023179C" w:rsidRDefault="00CD3728" w:rsidP="00143ECF">
            <w:pPr>
              <w:spacing w:after="0" w:line="240" w:lineRule="auto"/>
              <w:jc w:val="both"/>
            </w:pPr>
            <w:r>
              <w:rPr>
                <w:rFonts w:ascii="Times New Roman" w:eastAsia="Times New Roman" w:hAnsi="Times New Roman"/>
              </w:rPr>
              <w:t>Trata-se de edificação com subsolo implantada às margens de rodovia, o que agrega complexidade técnica relevante: contenções e impermeabilização do subsolo, fundações dependentes das características do solo e do lençol freático, e solução segura para a entrada e saída de veículos da rodovia. Projetos incompletos ou incompatíveis nesses pontos aumentam significativamente o risco de falhas executivas, aditivos, paralisações e sobrecustos.</w:t>
            </w:r>
          </w:p>
          <w:p w14:paraId="64434785" w14:textId="2C331E47" w:rsidR="0023179C" w:rsidRDefault="00CD3728" w:rsidP="00143ECF">
            <w:pPr>
              <w:spacing w:after="0" w:line="240" w:lineRule="auto"/>
              <w:jc w:val="both"/>
            </w:pPr>
            <w:r>
              <w:rPr>
                <w:rFonts w:ascii="Times New Roman" w:eastAsia="Times New Roman" w:hAnsi="Times New Roman"/>
              </w:rPr>
              <w:t>A não realização da contratação manterá a impossibilidade de execução do empreendimento, comprometendo o planejamento municipal, a captação de recursos e a adequada prestação dos serviços públicos de agricultura, meio ambiente e defesa civil. A contratação justifica-se, portanto, pela necessidade de obtenção de elementos técnicos suficientes e adequados à futura licitação e execução da obra, em conformidade com a fase preparatória prevista no art. 18 da Lei nº 14.133/2021.</w:t>
            </w:r>
          </w:p>
        </w:tc>
      </w:tr>
      <w:tr w:rsidR="0023179C" w14:paraId="1AA7DD3D" w14:textId="77777777">
        <w:tc>
          <w:tcPr>
            <w:tcW w:w="822" w:type="dxa"/>
            <w:tcBorders>
              <w:top w:val="single" w:sz="4" w:space="0" w:color="000000"/>
              <w:left w:val="single" w:sz="4" w:space="0" w:color="000000"/>
              <w:bottom w:val="single" w:sz="4" w:space="0" w:color="000000"/>
              <w:right w:val="single" w:sz="4" w:space="0" w:color="000000"/>
            </w:tcBorders>
          </w:tcPr>
          <w:p w14:paraId="3580E24F" w14:textId="77777777" w:rsidR="0023179C" w:rsidRDefault="00CD3728" w:rsidP="00143ECF">
            <w:pPr>
              <w:spacing w:after="0" w:line="240" w:lineRule="auto"/>
              <w:jc w:val="center"/>
            </w:pPr>
            <w:r>
              <w:rPr>
                <w:rFonts w:ascii="Times New Roman" w:eastAsia="Times New Roman" w:hAnsi="Times New Roman"/>
                <w:b/>
                <w:bCs/>
              </w:rPr>
              <w:t>2.</w:t>
            </w:r>
          </w:p>
        </w:tc>
        <w:tc>
          <w:tcPr>
            <w:tcW w:w="9640" w:type="dxa"/>
            <w:tcBorders>
              <w:top w:val="single" w:sz="4" w:space="0" w:color="000000"/>
              <w:left w:val="single" w:sz="4" w:space="0" w:color="000000"/>
              <w:bottom w:val="single" w:sz="4" w:space="0" w:color="000000"/>
              <w:right w:val="single" w:sz="4" w:space="0" w:color="000000"/>
            </w:tcBorders>
          </w:tcPr>
          <w:p w14:paraId="2C76CC90" w14:textId="77777777" w:rsidR="0023179C" w:rsidRDefault="00CD3728" w:rsidP="00143ECF">
            <w:pPr>
              <w:spacing w:after="0" w:line="240" w:lineRule="auto"/>
              <w:jc w:val="both"/>
            </w:pPr>
            <w:r>
              <w:rPr>
                <w:rFonts w:ascii="Times New Roman" w:eastAsia="Times New Roman" w:hAnsi="Times New Roman"/>
                <w:b/>
                <w:bCs/>
              </w:rPr>
              <w:t>Demonstração da previsão da contratação no plano de contratações anual, sempre que elaborado, de modo a indicar o seu alinhamento com o planejamento da Administração.</w:t>
            </w:r>
          </w:p>
          <w:p w14:paraId="64927E50" w14:textId="77777777" w:rsidR="0023179C" w:rsidRDefault="00CD3728" w:rsidP="00143ECF">
            <w:pPr>
              <w:spacing w:after="0" w:line="240" w:lineRule="auto"/>
              <w:jc w:val="both"/>
            </w:pPr>
            <w:r>
              <w:rPr>
                <w:rFonts w:ascii="Times New Roman" w:eastAsia="Times New Roman" w:hAnsi="Times New Roman"/>
              </w:rPr>
              <w:t>O Município de Palmitos/SC ainda não elaborou o Plano de Contratações Anual, razão pela qual não há previsão formal da presente</w:t>
            </w:r>
            <w:r w:rsidR="003E5D9E">
              <w:rPr>
                <w:rFonts w:ascii="Times New Roman" w:eastAsia="Times New Roman" w:hAnsi="Times New Roman"/>
              </w:rPr>
              <w:t xml:space="preserve"> contratação nesse instrumento.</w:t>
            </w:r>
          </w:p>
          <w:p w14:paraId="6304A045" w14:textId="77777777" w:rsidR="0023179C" w:rsidRDefault="00CD3728" w:rsidP="00143ECF">
            <w:pPr>
              <w:spacing w:after="0" w:line="240" w:lineRule="auto"/>
              <w:jc w:val="both"/>
            </w:pPr>
            <w:r>
              <w:rPr>
                <w:rFonts w:ascii="Times New Roman" w:eastAsia="Times New Roman" w:hAnsi="Times New Roman"/>
              </w:rPr>
              <w:t>Contudo, a contratação encontra-se alinhada ao planejamento da Administração Municipal, especialmente às ações de estruturação dos serviços de agricultura, meio ambiente e defesa civil, à melhoria do atendimento ao produtor rural e à captação de recursos para execução de obras públicas.</w:t>
            </w:r>
          </w:p>
          <w:p w14:paraId="7203E652" w14:textId="401D66DB" w:rsidR="0023179C" w:rsidRDefault="00CD3728" w:rsidP="00143ECF">
            <w:pPr>
              <w:spacing w:after="0" w:line="240" w:lineRule="auto"/>
              <w:jc w:val="both"/>
            </w:pPr>
            <w:r>
              <w:rPr>
                <w:rFonts w:ascii="Times New Roman" w:eastAsia="Times New Roman" w:hAnsi="Times New Roman"/>
              </w:rPr>
              <w:t>Dessa forma, ainda que inexistente o Plano de Contratações Anual, resta evidenciado o alinhamento da contratação com o interesse público e com o planejamento estratégico da Administração.</w:t>
            </w:r>
          </w:p>
        </w:tc>
      </w:tr>
      <w:tr w:rsidR="0023179C" w14:paraId="5DB9E753" w14:textId="77777777">
        <w:tc>
          <w:tcPr>
            <w:tcW w:w="822" w:type="dxa"/>
            <w:tcBorders>
              <w:top w:val="single" w:sz="4" w:space="0" w:color="000000"/>
              <w:left w:val="single" w:sz="4" w:space="0" w:color="000000"/>
              <w:bottom w:val="single" w:sz="4" w:space="0" w:color="000000"/>
              <w:right w:val="single" w:sz="4" w:space="0" w:color="000000"/>
            </w:tcBorders>
          </w:tcPr>
          <w:p w14:paraId="34DF33F8" w14:textId="77777777" w:rsidR="0023179C" w:rsidRDefault="00CD3728" w:rsidP="00143ECF">
            <w:pPr>
              <w:spacing w:after="0" w:line="240" w:lineRule="auto"/>
              <w:jc w:val="center"/>
            </w:pPr>
            <w:r>
              <w:rPr>
                <w:rFonts w:ascii="Times New Roman" w:eastAsia="Times New Roman" w:hAnsi="Times New Roman"/>
                <w:b/>
                <w:bCs/>
              </w:rPr>
              <w:t>3.</w:t>
            </w:r>
          </w:p>
        </w:tc>
        <w:tc>
          <w:tcPr>
            <w:tcW w:w="9640" w:type="dxa"/>
            <w:tcBorders>
              <w:top w:val="single" w:sz="4" w:space="0" w:color="000000"/>
              <w:left w:val="single" w:sz="4" w:space="0" w:color="000000"/>
              <w:bottom w:val="single" w:sz="4" w:space="0" w:color="000000"/>
              <w:right w:val="single" w:sz="4" w:space="0" w:color="000000"/>
            </w:tcBorders>
          </w:tcPr>
          <w:p w14:paraId="71D97D85" w14:textId="77777777" w:rsidR="0023179C" w:rsidRDefault="00CD3728" w:rsidP="00143ECF">
            <w:pPr>
              <w:spacing w:after="0" w:line="240" w:lineRule="auto"/>
              <w:jc w:val="both"/>
            </w:pPr>
            <w:r>
              <w:rPr>
                <w:rFonts w:ascii="Times New Roman" w:eastAsia="Times New Roman" w:hAnsi="Times New Roman"/>
                <w:b/>
                <w:bCs/>
              </w:rPr>
              <w:t>Requisitos da contratação.</w:t>
            </w:r>
          </w:p>
          <w:p w14:paraId="3FB13BA5" w14:textId="77777777" w:rsidR="0023179C" w:rsidRDefault="00CD3728" w:rsidP="00143ECF">
            <w:pPr>
              <w:spacing w:after="0" w:line="240" w:lineRule="auto"/>
              <w:jc w:val="both"/>
            </w:pPr>
            <w:r>
              <w:rPr>
                <w:rFonts w:ascii="Times New Roman" w:eastAsia="Times New Roman" w:hAnsi="Times New Roman"/>
              </w:rPr>
              <w:t>A contratada deverá atender aos seguintes requisitos mínimos:</w:t>
            </w:r>
          </w:p>
          <w:p w14:paraId="0D4A0B2D" w14:textId="77777777" w:rsidR="0023179C" w:rsidRDefault="00CD3728" w:rsidP="00143ECF">
            <w:pPr>
              <w:spacing w:after="0" w:line="240" w:lineRule="auto"/>
              <w:ind w:left="426" w:hanging="213"/>
              <w:jc w:val="both"/>
            </w:pPr>
            <w:r>
              <w:rPr>
                <w:rFonts w:ascii="Times New Roman" w:eastAsia="Times New Roman" w:hAnsi="Times New Roman"/>
              </w:rPr>
              <w:t>• ser pessoa jurídica especializada na prestação de serviços técnicos de arquitetura e/ou engenharia, com registro regular no CREA e/ou CAU;</w:t>
            </w:r>
          </w:p>
          <w:p w14:paraId="6C9B75D7" w14:textId="77777777" w:rsidR="0023179C" w:rsidRDefault="00CD3728" w:rsidP="00143ECF">
            <w:pPr>
              <w:spacing w:after="0" w:line="240" w:lineRule="auto"/>
              <w:ind w:left="426" w:hanging="213"/>
              <w:jc w:val="both"/>
            </w:pPr>
            <w:r>
              <w:rPr>
                <w:rFonts w:ascii="Times New Roman" w:eastAsia="Times New Roman" w:hAnsi="Times New Roman"/>
              </w:rPr>
              <w:lastRenderedPageBreak/>
              <w:t>• comprovar capacidade técnico-operacional e técnico-profissional compatível com as parcelas de maior relevância do objeto (projeto arquitetônico e projeto estrutural de edificação), na forma do Termo de Referência e do edital;</w:t>
            </w:r>
          </w:p>
          <w:p w14:paraId="2304B7A9" w14:textId="77777777" w:rsidR="0023179C" w:rsidRDefault="00CD3728" w:rsidP="00143ECF">
            <w:pPr>
              <w:spacing w:after="0" w:line="240" w:lineRule="auto"/>
              <w:ind w:left="426" w:hanging="213"/>
              <w:jc w:val="both"/>
            </w:pPr>
            <w:r>
              <w:rPr>
                <w:rFonts w:ascii="Times New Roman" w:eastAsia="Times New Roman" w:hAnsi="Times New Roman"/>
              </w:rPr>
              <w:t>• dispor de equipe técnica com atribuições profissionais para todas as disciplinas do escopo, podendo os profissionais integrar o quadro permanente da empresa ou ser a ela vinculados por contrato;</w:t>
            </w:r>
          </w:p>
          <w:p w14:paraId="0706A04C" w14:textId="77777777" w:rsidR="0023179C" w:rsidRDefault="00CD3728" w:rsidP="00143ECF">
            <w:pPr>
              <w:spacing w:after="0" w:line="240" w:lineRule="auto"/>
              <w:ind w:left="426" w:hanging="213"/>
              <w:jc w:val="both"/>
            </w:pPr>
            <w:r>
              <w:rPr>
                <w:rFonts w:ascii="Times New Roman" w:eastAsia="Times New Roman" w:hAnsi="Times New Roman"/>
              </w:rPr>
              <w:t>• elaborar todos os estudos, levantamentos, projetos, memoriais, especificações, quantitativos, orçamentos, cronogramas e demais documentos necessários à completa caracterização do empreendimento;</w:t>
            </w:r>
          </w:p>
          <w:p w14:paraId="2440252E" w14:textId="77777777" w:rsidR="0023179C" w:rsidRDefault="00CD3728" w:rsidP="00143ECF">
            <w:pPr>
              <w:spacing w:after="0" w:line="240" w:lineRule="auto"/>
              <w:ind w:left="426" w:hanging="213"/>
              <w:jc w:val="both"/>
            </w:pPr>
            <w:r>
              <w:rPr>
                <w:rFonts w:ascii="Times New Roman" w:eastAsia="Times New Roman" w:hAnsi="Times New Roman"/>
              </w:rPr>
              <w:t>• emitir ART e/ou RRT para todos os serviços e disciplinas;</w:t>
            </w:r>
          </w:p>
          <w:p w14:paraId="4BDF1793" w14:textId="77777777" w:rsidR="0023179C" w:rsidRDefault="00CD3728" w:rsidP="00143ECF">
            <w:pPr>
              <w:spacing w:after="0" w:line="240" w:lineRule="auto"/>
              <w:ind w:left="426" w:hanging="213"/>
              <w:jc w:val="both"/>
            </w:pPr>
            <w:r>
              <w:rPr>
                <w:rFonts w:ascii="Times New Roman" w:eastAsia="Times New Roman" w:hAnsi="Times New Roman"/>
              </w:rPr>
              <w:t>• corrigir, sem ônus para a Administração, erros, omissões, incompatibilidades ou inconsistências nos documentos elaborados;</w:t>
            </w:r>
          </w:p>
          <w:p w14:paraId="48982F47" w14:textId="77777777" w:rsidR="0023179C" w:rsidRDefault="00CD3728" w:rsidP="00143ECF">
            <w:pPr>
              <w:spacing w:after="0" w:line="240" w:lineRule="auto"/>
              <w:ind w:left="426" w:hanging="213"/>
              <w:jc w:val="both"/>
            </w:pPr>
            <w:r>
              <w:rPr>
                <w:rFonts w:ascii="Times New Roman" w:eastAsia="Times New Roman" w:hAnsi="Times New Roman"/>
              </w:rPr>
              <w:t>• ceder ao Município todos os direitos patrimoniais relativos aos projetos, nos termos do art. 93 da Lei nº 14.133/2021;</w:t>
            </w:r>
          </w:p>
          <w:p w14:paraId="115A9E92" w14:textId="77777777" w:rsidR="0023179C" w:rsidRDefault="00CD3728" w:rsidP="00143ECF">
            <w:pPr>
              <w:spacing w:after="0" w:line="240" w:lineRule="auto"/>
              <w:ind w:left="426" w:hanging="213"/>
              <w:jc w:val="both"/>
            </w:pPr>
            <w:r>
              <w:rPr>
                <w:rFonts w:ascii="Times New Roman" w:eastAsia="Times New Roman" w:hAnsi="Times New Roman"/>
              </w:rPr>
              <w:t>• entregar os produtos em formato digital editável (DWG ou IFC, XLSX e DOCX) e não editável (PDF assinado digitalmente), além de vias impressas quando solicitado;</w:t>
            </w:r>
          </w:p>
          <w:p w14:paraId="5C821078" w14:textId="77777777" w:rsidR="0023179C" w:rsidRDefault="00CD3728" w:rsidP="00143ECF">
            <w:pPr>
              <w:spacing w:after="0" w:line="240" w:lineRule="auto"/>
              <w:ind w:left="426" w:hanging="213"/>
              <w:jc w:val="both"/>
            </w:pPr>
            <w:r>
              <w:rPr>
                <w:rFonts w:ascii="Times New Roman" w:eastAsia="Times New Roman" w:hAnsi="Times New Roman"/>
              </w:rPr>
              <w:t>• manter, durante toda a execução contratual, as condições de habilitação exigidas na licitação.</w:t>
            </w:r>
          </w:p>
          <w:p w14:paraId="04BEA5BD" w14:textId="77777777" w:rsidR="0023179C" w:rsidRDefault="00CD3728" w:rsidP="00143ECF">
            <w:pPr>
              <w:keepNext/>
              <w:spacing w:after="0" w:line="240" w:lineRule="auto"/>
              <w:jc w:val="both"/>
            </w:pPr>
            <w:r>
              <w:rPr>
                <w:rFonts w:ascii="Times New Roman" w:eastAsia="Times New Roman" w:hAnsi="Times New Roman"/>
                <w:b/>
                <w:bCs/>
              </w:rPr>
              <w:t>Programa de necessidades</w:t>
            </w:r>
          </w:p>
          <w:p w14:paraId="20E8E47B" w14:textId="77777777" w:rsidR="0023179C" w:rsidRDefault="00CD3728" w:rsidP="00143ECF">
            <w:pPr>
              <w:spacing w:after="0" w:line="240" w:lineRule="auto"/>
              <w:jc w:val="both"/>
            </w:pPr>
            <w:r>
              <w:rPr>
                <w:rFonts w:ascii="Times New Roman" w:eastAsia="Times New Roman" w:hAnsi="Times New Roman"/>
              </w:rPr>
              <w:t>O programa de necessidades, definido pela Secretaria demandante, consta do Termo de Referência e abrange: 08 salas individuais da Secretaria, sala de arquivo, depósito e sala do Programa de Inseminação; 06 salas para a EPAGRI e 04 para a CIDASC (todas com atendimento para 2 pessoas); sala de reuniões para 12 pessoas; sala da Defesa Civil para controle de crises e comando; cozinha; lavanderia; banheiros masculino e feminino acessíveis; circulação de aproximadamente 4 m de largura com espaço de espera; piso em concreto polido. No subsolo, depósito do Viveiro (8 x 6 m), banheiro e área coberta para produção (6 x 6 m). Estacionamento para 10 veículos oficiais e 10 particulares e Viveiro Municipal com estufa (30 x 8 m), área de sombrite (30 x 40 m), sistema de irrigação e reservatório de 20.000 litros.</w:t>
            </w:r>
          </w:p>
          <w:p w14:paraId="21920B97" w14:textId="77777777" w:rsidR="0023179C" w:rsidRDefault="00CD3728" w:rsidP="00143ECF">
            <w:pPr>
              <w:spacing w:after="0" w:line="240" w:lineRule="auto"/>
              <w:jc w:val="both"/>
            </w:pPr>
            <w:r>
              <w:rPr>
                <w:rFonts w:ascii="Times New Roman" w:eastAsia="Times New Roman" w:hAnsi="Times New Roman"/>
              </w:rPr>
              <w:t>A área construída estimada de até 500 m² refere-se à edificação (pavimento principal e subsolo), não computadas as áreas externas de estacionamento. Variações decorrentes do desenvolvimento técnico do projeto deverão ser justificadas e previamente aprovadas pela Administração.</w:t>
            </w:r>
          </w:p>
          <w:p w14:paraId="7AD36F93" w14:textId="77777777" w:rsidR="0023179C" w:rsidRDefault="00CD3728" w:rsidP="00143ECF">
            <w:pPr>
              <w:keepNext/>
              <w:spacing w:after="0" w:line="240" w:lineRule="auto"/>
              <w:jc w:val="both"/>
            </w:pPr>
            <w:r>
              <w:rPr>
                <w:rFonts w:ascii="Times New Roman" w:eastAsia="Times New Roman" w:hAnsi="Times New Roman"/>
                <w:b/>
                <w:bCs/>
              </w:rPr>
              <w:t>Normas e referências técnicas</w:t>
            </w:r>
          </w:p>
          <w:p w14:paraId="1C6C64CC" w14:textId="77777777" w:rsidR="0023179C" w:rsidRDefault="00CD3728" w:rsidP="00143ECF">
            <w:pPr>
              <w:spacing w:after="0" w:line="240" w:lineRule="auto"/>
              <w:jc w:val="both"/>
            </w:pPr>
            <w:r>
              <w:rPr>
                <w:rFonts w:ascii="Times New Roman" w:eastAsia="Times New Roman" w:hAnsi="Times New Roman"/>
              </w:rPr>
              <w:t>Na elaboração dos serviços deverão ser observadas, quando aplicáveis:</w:t>
            </w:r>
          </w:p>
          <w:p w14:paraId="0563AC79" w14:textId="77777777" w:rsidR="0023179C" w:rsidRDefault="00CD3728" w:rsidP="00143ECF">
            <w:pPr>
              <w:spacing w:after="0" w:line="240" w:lineRule="auto"/>
              <w:ind w:left="426" w:hanging="284"/>
              <w:jc w:val="both"/>
            </w:pPr>
            <w:r>
              <w:rPr>
                <w:rFonts w:ascii="Times New Roman" w:eastAsia="Times New Roman" w:hAnsi="Times New Roman"/>
              </w:rPr>
              <w:t>a) Lei nº 14.133/2021 e regulamentos municipais aplicáveis;</w:t>
            </w:r>
          </w:p>
          <w:p w14:paraId="5BDC4093" w14:textId="77777777" w:rsidR="0023179C" w:rsidRDefault="00CD3728" w:rsidP="00143ECF">
            <w:pPr>
              <w:spacing w:after="0" w:line="240" w:lineRule="auto"/>
              <w:ind w:left="426" w:hanging="284"/>
              <w:jc w:val="both"/>
            </w:pPr>
            <w:r>
              <w:rPr>
                <w:rFonts w:ascii="Times New Roman" w:eastAsia="Times New Roman" w:hAnsi="Times New Roman"/>
              </w:rPr>
              <w:t>b) Código de Obras, Plano Diretor e demais normas urbanísticas do Município de Palmitos/SC;</w:t>
            </w:r>
          </w:p>
          <w:p w14:paraId="2BA61E19" w14:textId="77777777" w:rsidR="0023179C" w:rsidRDefault="00CD3728" w:rsidP="00143ECF">
            <w:pPr>
              <w:spacing w:after="0" w:line="240" w:lineRule="auto"/>
              <w:ind w:left="426" w:hanging="284"/>
              <w:jc w:val="both"/>
            </w:pPr>
            <w:r>
              <w:rPr>
                <w:rFonts w:ascii="Times New Roman" w:eastAsia="Times New Roman" w:hAnsi="Times New Roman"/>
              </w:rPr>
              <w:t>c) legislação ambiental federal, estadual e municipal;</w:t>
            </w:r>
          </w:p>
          <w:p w14:paraId="1EDD5EA1" w14:textId="77777777" w:rsidR="0023179C" w:rsidRDefault="00CD3728" w:rsidP="00143ECF">
            <w:pPr>
              <w:spacing w:after="0" w:line="240" w:lineRule="auto"/>
              <w:ind w:left="426" w:hanging="284"/>
              <w:jc w:val="both"/>
            </w:pPr>
            <w:r>
              <w:rPr>
                <w:rFonts w:ascii="Times New Roman" w:eastAsia="Times New Roman" w:hAnsi="Times New Roman"/>
              </w:rPr>
              <w:t>d) Lei nº 13.146/2015 (Estatuto da Pessoa com Deficiência), Decreto nº 5.296/2004 e Lei nº 10.741/2003 (Estatuto da Pessoa Idosa);</w:t>
            </w:r>
          </w:p>
          <w:p w14:paraId="2D840D26" w14:textId="77777777" w:rsidR="0023179C" w:rsidRDefault="00CD3728" w:rsidP="00143ECF">
            <w:pPr>
              <w:spacing w:after="0" w:line="240" w:lineRule="auto"/>
              <w:ind w:left="426" w:hanging="284"/>
              <w:jc w:val="both"/>
            </w:pPr>
            <w:r>
              <w:rPr>
                <w:rFonts w:ascii="Times New Roman" w:eastAsia="Times New Roman" w:hAnsi="Times New Roman"/>
              </w:rPr>
              <w:t>e) Instruções Normativas do Corpo de Bombeiros Militar de Santa Catarina (CBMSC);</w:t>
            </w:r>
          </w:p>
          <w:p w14:paraId="3DF9294C" w14:textId="77777777" w:rsidR="0023179C" w:rsidRDefault="00CD3728" w:rsidP="00143ECF">
            <w:pPr>
              <w:spacing w:after="0" w:line="240" w:lineRule="auto"/>
              <w:ind w:left="426" w:hanging="284"/>
              <w:jc w:val="both"/>
            </w:pPr>
            <w:r>
              <w:rPr>
                <w:rFonts w:ascii="Times New Roman" w:eastAsia="Times New Roman" w:hAnsi="Times New Roman"/>
              </w:rPr>
              <w:t>f) normas técnicas das concessionárias de energia elétrica e de saneamento e do órgão com circunscrição sobre a rodovia;</w:t>
            </w:r>
          </w:p>
          <w:p w14:paraId="1AB20ED2" w14:textId="77777777" w:rsidR="0023179C" w:rsidRDefault="00CD3728" w:rsidP="00143ECF">
            <w:pPr>
              <w:spacing w:after="0" w:line="240" w:lineRule="auto"/>
              <w:ind w:left="426" w:hanging="284"/>
              <w:jc w:val="both"/>
            </w:pPr>
            <w:r>
              <w:rPr>
                <w:rFonts w:ascii="Times New Roman" w:eastAsia="Times New Roman" w:hAnsi="Times New Roman"/>
              </w:rPr>
              <w:t>g) Normas Técnicas da ABNT vigentes, em especial NBR 16636 e NBR 13532 (projetos de edificações), NBR 13133, NBR 6484, NBR 8036, NBR 6118, NBR 6122, NBR 9575, NBR 5626, NBR 8160, NBR 10844, NBR 7229, NBR 13969, NBR 15527, NBR 5410, NBR 5419, NBR 14565, NBR 9050, NBR 16537 e NBR 15575;</w:t>
            </w:r>
          </w:p>
          <w:p w14:paraId="3BEF4955" w14:textId="77777777" w:rsidR="0023179C" w:rsidRDefault="00CD3728" w:rsidP="00143ECF">
            <w:pPr>
              <w:spacing w:after="0" w:line="240" w:lineRule="auto"/>
              <w:ind w:left="426" w:hanging="284"/>
              <w:jc w:val="both"/>
            </w:pPr>
            <w:r>
              <w:rPr>
                <w:rFonts w:ascii="Times New Roman" w:eastAsia="Times New Roman" w:hAnsi="Times New Roman"/>
              </w:rPr>
              <w:t>h) Sistema Nacional de Pesquisa de Custos e Índices da Construção Civil – SINAPI e, subsidiariamente, SICRO;</w:t>
            </w:r>
          </w:p>
          <w:p w14:paraId="65DD20D0" w14:textId="77777777" w:rsidR="0023179C" w:rsidRDefault="00CD3728" w:rsidP="00143ECF">
            <w:pPr>
              <w:spacing w:after="0" w:line="240" w:lineRule="auto"/>
              <w:ind w:left="426" w:hanging="284"/>
              <w:jc w:val="both"/>
            </w:pPr>
            <w:r>
              <w:rPr>
                <w:rFonts w:ascii="Times New Roman" w:eastAsia="Times New Roman" w:hAnsi="Times New Roman"/>
              </w:rPr>
              <w:t>i) demais legislações, regulamentos e normas técnicas pertinentes ao objeto.</w:t>
            </w:r>
          </w:p>
          <w:p w14:paraId="6F40AAB8" w14:textId="77777777" w:rsidR="0023179C" w:rsidRDefault="00CD3728" w:rsidP="00143ECF">
            <w:pPr>
              <w:spacing w:after="0" w:line="240" w:lineRule="auto"/>
              <w:jc w:val="both"/>
            </w:pPr>
            <w:r>
              <w:rPr>
                <w:rFonts w:ascii="Times New Roman" w:eastAsia="Times New Roman" w:hAnsi="Times New Roman"/>
              </w:rPr>
              <w:t>Na inexistência de referência adequada em sistemas oficiais de custos, poderá ser utilizada composição própria, tecnicamente justificada e acompanhada das respectivas memórias de cálculo e cotações.</w:t>
            </w:r>
          </w:p>
          <w:p w14:paraId="1EE248E9" w14:textId="77777777" w:rsidR="0023179C" w:rsidRDefault="00CD3728" w:rsidP="00143ECF">
            <w:pPr>
              <w:keepNext/>
              <w:spacing w:after="0" w:line="240" w:lineRule="auto"/>
              <w:jc w:val="both"/>
            </w:pPr>
            <w:r>
              <w:rPr>
                <w:rFonts w:ascii="Times New Roman" w:eastAsia="Times New Roman" w:hAnsi="Times New Roman"/>
                <w:b/>
                <w:bCs/>
              </w:rPr>
              <w:t>Reuniões técnicas e visitas</w:t>
            </w:r>
          </w:p>
          <w:p w14:paraId="6A13D40E" w14:textId="77777777" w:rsidR="0023179C" w:rsidRDefault="00CD3728" w:rsidP="00143ECF">
            <w:pPr>
              <w:spacing w:after="0" w:line="240" w:lineRule="auto"/>
              <w:jc w:val="both"/>
            </w:pPr>
            <w:r>
              <w:rPr>
                <w:rFonts w:ascii="Times New Roman" w:eastAsia="Times New Roman" w:hAnsi="Times New Roman"/>
              </w:rPr>
              <w:t>A contratada deverá realizar as visitas técnicas necessárias ao terreno, assumindo inteira responsabilidade pelo conhecimento das condições locais, e participar de, no mínimo, 03 (três) reuniões técnicas com a Administração – de início dos trabalhos, de validação do estudo preliminar e de validação do projeto básico –, registradas em ata.</w:t>
            </w:r>
          </w:p>
          <w:p w14:paraId="15BB0CE2" w14:textId="77777777" w:rsidR="0023179C" w:rsidRDefault="00CD3728" w:rsidP="00143ECF">
            <w:pPr>
              <w:keepNext/>
              <w:spacing w:after="0" w:line="240" w:lineRule="auto"/>
              <w:jc w:val="both"/>
            </w:pPr>
            <w:r>
              <w:rPr>
                <w:rFonts w:ascii="Times New Roman" w:eastAsia="Times New Roman" w:hAnsi="Times New Roman"/>
                <w:b/>
                <w:bCs/>
              </w:rPr>
              <w:t>Sustentabilidade e eficiência</w:t>
            </w:r>
          </w:p>
          <w:p w14:paraId="43E9EDE1" w14:textId="77777777" w:rsidR="0023179C" w:rsidRDefault="00CD3728" w:rsidP="00143ECF">
            <w:pPr>
              <w:spacing w:after="0" w:line="240" w:lineRule="auto"/>
              <w:jc w:val="both"/>
            </w:pPr>
            <w:r>
              <w:rPr>
                <w:rFonts w:ascii="Times New Roman" w:eastAsia="Times New Roman" w:hAnsi="Times New Roman"/>
              </w:rPr>
              <w:t>As soluções deverão priorizar racionalização de custos, durabilidade e baixa manutenção dos materiais, eficiência energética, iluminação e ventilação naturais, aproveitamento de água de chuva, acessibilidade universal e redução de impactos ambientais.</w:t>
            </w:r>
          </w:p>
          <w:p w14:paraId="005797ED" w14:textId="77777777" w:rsidR="0023179C" w:rsidRDefault="00CD3728" w:rsidP="00143ECF">
            <w:pPr>
              <w:keepNext/>
              <w:spacing w:after="0" w:line="240" w:lineRule="auto"/>
              <w:jc w:val="both"/>
            </w:pPr>
            <w:r>
              <w:rPr>
                <w:rFonts w:ascii="Times New Roman" w:eastAsia="Times New Roman" w:hAnsi="Times New Roman"/>
                <w:b/>
                <w:bCs/>
              </w:rPr>
              <w:lastRenderedPageBreak/>
              <w:t>Aprovações e licenciamentos</w:t>
            </w:r>
          </w:p>
          <w:p w14:paraId="3B6C01A4" w14:textId="77777777" w:rsidR="0023179C" w:rsidRDefault="00CD3728" w:rsidP="00143ECF">
            <w:pPr>
              <w:spacing w:after="0" w:line="240" w:lineRule="auto"/>
              <w:jc w:val="both"/>
            </w:pPr>
            <w:r>
              <w:rPr>
                <w:rFonts w:ascii="Times New Roman" w:eastAsia="Times New Roman" w:hAnsi="Times New Roman"/>
              </w:rPr>
              <w:t>A contratada deverá elaborar e protocolar os documentos necessários e acompanhar as aprovações junto ao Município, ao CBMSC, ao órgão com circunscrição sobre a rodovia, às concessionárias e, se exigível, ao órgão ambiental, promovendo sem ônus as adequações solicitadas. As taxas de análise e aprovação cobradas pelos órgãos públicos não integram o objeto e serão custeadas pelo Município.</w:t>
            </w:r>
          </w:p>
          <w:p w14:paraId="3987C04E" w14:textId="77777777" w:rsidR="0023179C" w:rsidRDefault="00CD3728" w:rsidP="00143ECF">
            <w:pPr>
              <w:keepNext/>
              <w:spacing w:after="0" w:line="240" w:lineRule="auto"/>
              <w:jc w:val="both"/>
            </w:pPr>
            <w:r>
              <w:rPr>
                <w:rFonts w:ascii="Times New Roman" w:eastAsia="Times New Roman" w:hAnsi="Times New Roman"/>
                <w:b/>
                <w:bCs/>
              </w:rPr>
              <w:t>Subcontratação</w:t>
            </w:r>
          </w:p>
          <w:p w14:paraId="39BE89D1" w14:textId="42FFA9F6" w:rsidR="0023179C" w:rsidRDefault="00CD3728" w:rsidP="00143ECF">
            <w:pPr>
              <w:spacing w:after="0" w:line="240" w:lineRule="auto"/>
              <w:jc w:val="both"/>
            </w:pPr>
            <w:r>
              <w:rPr>
                <w:rFonts w:ascii="Times New Roman" w:eastAsia="Times New Roman" w:hAnsi="Times New Roman"/>
              </w:rPr>
              <w:t>Admite-se a subcontratação parcial exclusivamente dos serviços de levantamento topográfico e de sondagem do solo, mediante prévia autorização da Administração, permanecendo a contratada integralmente responsável pela qualidade e pelos prazos (art. 122 da Lei nº 14.133/2021).</w:t>
            </w:r>
          </w:p>
        </w:tc>
      </w:tr>
      <w:tr w:rsidR="0023179C" w14:paraId="7D695BDB" w14:textId="77777777">
        <w:tc>
          <w:tcPr>
            <w:tcW w:w="822" w:type="dxa"/>
            <w:tcBorders>
              <w:top w:val="single" w:sz="4" w:space="0" w:color="000000"/>
              <w:left w:val="single" w:sz="4" w:space="0" w:color="000000"/>
              <w:bottom w:val="single" w:sz="4" w:space="0" w:color="000000"/>
              <w:right w:val="single" w:sz="4" w:space="0" w:color="000000"/>
            </w:tcBorders>
          </w:tcPr>
          <w:p w14:paraId="3FEC312C" w14:textId="77777777" w:rsidR="0023179C" w:rsidRDefault="00CD3728" w:rsidP="00143ECF">
            <w:pPr>
              <w:spacing w:after="0" w:line="240" w:lineRule="auto"/>
              <w:jc w:val="center"/>
            </w:pPr>
            <w:r>
              <w:rPr>
                <w:rFonts w:ascii="Times New Roman" w:eastAsia="Times New Roman" w:hAnsi="Times New Roman"/>
                <w:b/>
                <w:bCs/>
              </w:rPr>
              <w:lastRenderedPageBreak/>
              <w:t>4.</w:t>
            </w:r>
          </w:p>
        </w:tc>
        <w:tc>
          <w:tcPr>
            <w:tcW w:w="9640" w:type="dxa"/>
            <w:tcBorders>
              <w:top w:val="single" w:sz="4" w:space="0" w:color="000000"/>
              <w:left w:val="single" w:sz="4" w:space="0" w:color="000000"/>
              <w:bottom w:val="single" w:sz="4" w:space="0" w:color="000000"/>
              <w:right w:val="single" w:sz="4" w:space="0" w:color="000000"/>
            </w:tcBorders>
          </w:tcPr>
          <w:p w14:paraId="63272C8A" w14:textId="77777777" w:rsidR="0023179C" w:rsidRDefault="00CD3728" w:rsidP="00143ECF">
            <w:pPr>
              <w:spacing w:after="0" w:line="240" w:lineRule="auto"/>
              <w:jc w:val="both"/>
            </w:pPr>
            <w:r>
              <w:rPr>
                <w:rFonts w:ascii="Times New Roman" w:eastAsia="Times New Roman" w:hAnsi="Times New Roman"/>
                <w:b/>
                <w:bCs/>
              </w:rPr>
              <w:t>Estimativas das quantidades para a contratação, acompanhadas das memórias de cálculo e dos documentos que lhes dão suporte, considerando interdependências com outras contratações, de modo a possibilitar economia de escala.</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700"/>
              <w:gridCol w:w="5840"/>
              <w:gridCol w:w="1300"/>
              <w:gridCol w:w="1400"/>
            </w:tblGrid>
            <w:tr w:rsidR="0023179C" w14:paraId="2E0CB711" w14:textId="77777777">
              <w:trPr>
                <w:tblHeader/>
              </w:trPr>
              <w:tc>
                <w:tcPr>
                  <w:tcW w:w="700" w:type="dxa"/>
                  <w:shd w:val="clear" w:color="auto" w:fill="D9D9D9"/>
                  <w:vAlign w:val="center"/>
                </w:tcPr>
                <w:p w14:paraId="70E495E1" w14:textId="77777777" w:rsidR="0023179C" w:rsidRDefault="00CD3728" w:rsidP="00143ECF">
                  <w:pPr>
                    <w:spacing w:after="0" w:line="240" w:lineRule="auto"/>
                    <w:jc w:val="center"/>
                  </w:pPr>
                  <w:r>
                    <w:rPr>
                      <w:rFonts w:ascii="Times New Roman" w:eastAsia="Times New Roman" w:hAnsi="Times New Roman"/>
                      <w:b/>
                      <w:bCs/>
                      <w:sz w:val="20"/>
                      <w:szCs w:val="20"/>
                    </w:rPr>
                    <w:t>Item</w:t>
                  </w:r>
                </w:p>
              </w:tc>
              <w:tc>
                <w:tcPr>
                  <w:tcW w:w="5840" w:type="dxa"/>
                  <w:shd w:val="clear" w:color="auto" w:fill="D9D9D9"/>
                  <w:vAlign w:val="center"/>
                </w:tcPr>
                <w:p w14:paraId="0C56BA39" w14:textId="77777777" w:rsidR="0023179C" w:rsidRDefault="00CD3728" w:rsidP="00143ECF">
                  <w:pPr>
                    <w:spacing w:after="0" w:line="240" w:lineRule="auto"/>
                    <w:jc w:val="center"/>
                  </w:pPr>
                  <w:r>
                    <w:rPr>
                      <w:rFonts w:ascii="Times New Roman" w:eastAsia="Times New Roman" w:hAnsi="Times New Roman"/>
                      <w:b/>
                      <w:bCs/>
                      <w:sz w:val="20"/>
                      <w:szCs w:val="20"/>
                    </w:rPr>
                    <w:t>Descrição</w:t>
                  </w:r>
                </w:p>
              </w:tc>
              <w:tc>
                <w:tcPr>
                  <w:tcW w:w="1300" w:type="dxa"/>
                  <w:shd w:val="clear" w:color="auto" w:fill="D9D9D9"/>
                  <w:vAlign w:val="center"/>
                </w:tcPr>
                <w:p w14:paraId="7632DC51" w14:textId="77777777" w:rsidR="0023179C" w:rsidRDefault="00CD3728" w:rsidP="00143ECF">
                  <w:pPr>
                    <w:spacing w:after="0" w:line="240" w:lineRule="auto"/>
                    <w:jc w:val="center"/>
                  </w:pPr>
                  <w:r>
                    <w:rPr>
                      <w:rFonts w:ascii="Times New Roman" w:eastAsia="Times New Roman" w:hAnsi="Times New Roman"/>
                      <w:b/>
                      <w:bCs/>
                      <w:sz w:val="20"/>
                      <w:szCs w:val="20"/>
                    </w:rPr>
                    <w:t>Unidade</w:t>
                  </w:r>
                </w:p>
              </w:tc>
              <w:tc>
                <w:tcPr>
                  <w:tcW w:w="1400" w:type="dxa"/>
                  <w:shd w:val="clear" w:color="auto" w:fill="D9D9D9"/>
                  <w:vAlign w:val="center"/>
                </w:tcPr>
                <w:p w14:paraId="183B17CC" w14:textId="77777777" w:rsidR="0023179C" w:rsidRDefault="00CD3728" w:rsidP="00143ECF">
                  <w:pPr>
                    <w:spacing w:after="0" w:line="240" w:lineRule="auto"/>
                    <w:jc w:val="center"/>
                  </w:pPr>
                  <w:r>
                    <w:rPr>
                      <w:rFonts w:ascii="Times New Roman" w:eastAsia="Times New Roman" w:hAnsi="Times New Roman"/>
                      <w:b/>
                      <w:bCs/>
                      <w:sz w:val="20"/>
                      <w:szCs w:val="20"/>
                    </w:rPr>
                    <w:t>Quantidade</w:t>
                  </w:r>
                </w:p>
              </w:tc>
            </w:tr>
            <w:tr w:rsidR="0023179C" w14:paraId="58C52FCE" w14:textId="77777777">
              <w:tc>
                <w:tcPr>
                  <w:tcW w:w="700" w:type="dxa"/>
                  <w:vAlign w:val="center"/>
                </w:tcPr>
                <w:p w14:paraId="38D7C55E" w14:textId="77777777" w:rsidR="0023179C" w:rsidRDefault="00CD3728" w:rsidP="00143ECF">
                  <w:pPr>
                    <w:spacing w:after="0" w:line="240" w:lineRule="auto"/>
                    <w:jc w:val="center"/>
                  </w:pPr>
                  <w:r>
                    <w:rPr>
                      <w:rFonts w:ascii="Times New Roman" w:eastAsia="Times New Roman" w:hAnsi="Times New Roman"/>
                      <w:sz w:val="20"/>
                      <w:szCs w:val="20"/>
                    </w:rPr>
                    <w:t>01</w:t>
                  </w:r>
                </w:p>
              </w:tc>
              <w:tc>
                <w:tcPr>
                  <w:tcW w:w="5840" w:type="dxa"/>
                  <w:vAlign w:val="center"/>
                </w:tcPr>
                <w:p w14:paraId="48BB77D9" w14:textId="77777777" w:rsidR="0023179C" w:rsidRDefault="00CD3728" w:rsidP="00143ECF">
                  <w:pPr>
                    <w:spacing w:after="0" w:line="240" w:lineRule="auto"/>
                  </w:pPr>
                  <w:r>
                    <w:rPr>
                      <w:rFonts w:ascii="Times New Roman" w:eastAsia="Times New Roman" w:hAnsi="Times New Roman"/>
                      <w:sz w:val="20"/>
                      <w:szCs w:val="20"/>
                    </w:rPr>
                    <w:t>Elaboração de projetos técnicos completos de arquitetura e engenharia (levantamento topográfico, sondagem SPT, estudo preliminar, projeto arquitetônico legal/básico e executivo, implantação, estacionamento e acesso rodoviário, terraplenagem e contenções, estrutural e fundações, impermeabilização, hidrossanitário e pluvial, elétrico, SPDA, cabeamento estruturado, PPCI, acessibilidade, Viveiro Municipal, memoriais, especificações, orçamento com e sem BDI e cronograma físico-financeiro) para construção da nova sede da Secretaria Municipal de Agricultura e Meio Ambiente, com área construída estimada de até 500 m², subsolo e estacionamento.</w:t>
                  </w:r>
                </w:p>
              </w:tc>
              <w:tc>
                <w:tcPr>
                  <w:tcW w:w="1300" w:type="dxa"/>
                  <w:vAlign w:val="center"/>
                </w:tcPr>
                <w:p w14:paraId="5AF18B5C" w14:textId="77777777" w:rsidR="0023179C" w:rsidRDefault="00CD3728" w:rsidP="00143ECF">
                  <w:pPr>
                    <w:spacing w:after="0" w:line="240" w:lineRule="auto"/>
                    <w:jc w:val="center"/>
                  </w:pPr>
                  <w:r>
                    <w:rPr>
                      <w:rFonts w:ascii="Times New Roman" w:eastAsia="Times New Roman" w:hAnsi="Times New Roman"/>
                      <w:sz w:val="20"/>
                      <w:szCs w:val="20"/>
                    </w:rPr>
                    <w:t>Serviço</w:t>
                  </w:r>
                </w:p>
              </w:tc>
              <w:tc>
                <w:tcPr>
                  <w:tcW w:w="1400" w:type="dxa"/>
                  <w:vAlign w:val="center"/>
                </w:tcPr>
                <w:p w14:paraId="7F7C25DB" w14:textId="77777777" w:rsidR="0023179C" w:rsidRDefault="00CD3728" w:rsidP="00143ECF">
                  <w:pPr>
                    <w:spacing w:after="0" w:line="240" w:lineRule="auto"/>
                    <w:jc w:val="center"/>
                  </w:pPr>
                  <w:r>
                    <w:rPr>
                      <w:rFonts w:ascii="Times New Roman" w:eastAsia="Times New Roman" w:hAnsi="Times New Roman"/>
                      <w:sz w:val="20"/>
                      <w:szCs w:val="20"/>
                    </w:rPr>
                    <w:t>01</w:t>
                  </w:r>
                </w:p>
              </w:tc>
            </w:tr>
          </w:tbl>
          <w:p w14:paraId="4DEC0862" w14:textId="77777777" w:rsidR="0023179C" w:rsidRDefault="00CD3728" w:rsidP="00143ECF">
            <w:pPr>
              <w:keepNext/>
              <w:spacing w:after="0" w:line="240" w:lineRule="auto"/>
              <w:jc w:val="both"/>
            </w:pPr>
            <w:r>
              <w:rPr>
                <w:rFonts w:ascii="Times New Roman" w:eastAsia="Times New Roman" w:hAnsi="Times New Roman"/>
                <w:b/>
                <w:bCs/>
              </w:rPr>
              <w:t>Memória de cálculo dos quantitativos</w:t>
            </w:r>
          </w:p>
          <w:p w14:paraId="730A71E3" w14:textId="77777777" w:rsidR="0023179C" w:rsidRDefault="00CD3728" w:rsidP="00143ECF">
            <w:pPr>
              <w:spacing w:after="0" w:line="240" w:lineRule="auto"/>
              <w:ind w:left="426" w:hanging="213"/>
              <w:jc w:val="both"/>
            </w:pPr>
            <w:r>
              <w:rPr>
                <w:rFonts w:ascii="Times New Roman" w:eastAsia="Times New Roman" w:hAnsi="Times New Roman"/>
              </w:rPr>
              <w:t>• Edificação: área construída estimada de até 500 m², distribuída entre pavimento principal e subsolo, conforme programa de necessidades;</w:t>
            </w:r>
          </w:p>
          <w:p w14:paraId="72C00CF2" w14:textId="77777777" w:rsidR="0023179C" w:rsidRDefault="00CD3728" w:rsidP="00143ECF">
            <w:pPr>
              <w:spacing w:after="0" w:line="240" w:lineRule="auto"/>
              <w:ind w:left="426" w:hanging="213"/>
              <w:jc w:val="both"/>
            </w:pPr>
            <w:r>
              <w:rPr>
                <w:rFonts w:ascii="Times New Roman" w:eastAsia="Times New Roman" w:hAnsi="Times New Roman"/>
              </w:rPr>
              <w:t>• Estacionamento: 20 vagas (10 oficiais e 10 particulares), incluídas as vagas reservadas;</w:t>
            </w:r>
          </w:p>
          <w:p w14:paraId="4CBD86F1" w14:textId="77777777" w:rsidR="0023179C" w:rsidRDefault="00CD3728" w:rsidP="00143ECF">
            <w:pPr>
              <w:spacing w:after="0" w:line="240" w:lineRule="auto"/>
              <w:ind w:left="426" w:hanging="213"/>
              <w:jc w:val="both"/>
            </w:pPr>
            <w:r>
              <w:rPr>
                <w:rFonts w:ascii="Times New Roman" w:eastAsia="Times New Roman" w:hAnsi="Times New Roman"/>
              </w:rPr>
              <w:t>• Viveiro Municipal: estufa de aproximadamente 240 m², área de sombrite de aproximadamente 1.200 m², sistema de irrigação e reservatório de 20.000 litros;</w:t>
            </w:r>
          </w:p>
          <w:p w14:paraId="1DEE9C1A" w14:textId="77777777" w:rsidR="0023179C" w:rsidRDefault="00CD3728" w:rsidP="00143ECF">
            <w:pPr>
              <w:spacing w:after="0" w:line="240" w:lineRule="auto"/>
              <w:ind w:left="426" w:hanging="213"/>
              <w:jc w:val="both"/>
            </w:pPr>
            <w:r>
              <w:rPr>
                <w:rFonts w:ascii="Times New Roman" w:eastAsia="Times New Roman" w:hAnsi="Times New Roman"/>
              </w:rPr>
              <w:t>• Sondagem SPT: no mínimo 03 furos, quantidade compatível com a ABNT NBR 8036 para a área de projeção estimada, podendo ser ampliada conforme o estudo preliminar;</w:t>
            </w:r>
          </w:p>
          <w:p w14:paraId="65E74F09" w14:textId="77777777" w:rsidR="0023179C" w:rsidRDefault="00CD3728" w:rsidP="00143ECF">
            <w:pPr>
              <w:spacing w:after="0" w:line="240" w:lineRule="auto"/>
              <w:ind w:left="426" w:hanging="213"/>
              <w:jc w:val="both"/>
            </w:pPr>
            <w:r>
              <w:rPr>
                <w:rFonts w:ascii="Times New Roman" w:eastAsia="Times New Roman" w:hAnsi="Times New Roman"/>
              </w:rPr>
              <w:t>• Levantamen</w:t>
            </w:r>
            <w:r w:rsidR="003E5D9E">
              <w:rPr>
                <w:rFonts w:ascii="Times New Roman" w:eastAsia="Times New Roman" w:hAnsi="Times New Roman"/>
              </w:rPr>
              <w:t xml:space="preserve">to topográfico: </w:t>
            </w:r>
            <w:r>
              <w:rPr>
                <w:rFonts w:ascii="Times New Roman" w:eastAsia="Times New Roman" w:hAnsi="Times New Roman"/>
              </w:rPr>
              <w:t>acrescida do entorno imediato e da faixa lindeira da rodovia.</w:t>
            </w:r>
          </w:p>
          <w:p w14:paraId="75CFF1F2" w14:textId="77777777" w:rsidR="0023179C" w:rsidRDefault="00CD3728" w:rsidP="00143ECF">
            <w:pPr>
              <w:spacing w:after="0" w:line="240" w:lineRule="auto"/>
              <w:jc w:val="both"/>
            </w:pPr>
            <w:r>
              <w:rPr>
                <w:rFonts w:ascii="Times New Roman" w:eastAsia="Times New Roman" w:hAnsi="Times New Roman"/>
              </w:rPr>
              <w:t>O objeto é quantificado como serviço único (01), pois os produtos são interdependentes e integram uma mesma solução técnica, a ser remunerada por etapas concluídas, conforme o Termo de Referência.</w:t>
            </w:r>
          </w:p>
          <w:p w14:paraId="4581BD69" w14:textId="77777777" w:rsidR="0023179C" w:rsidRDefault="00CD3728" w:rsidP="00143ECF">
            <w:pPr>
              <w:keepNext/>
              <w:spacing w:after="0" w:line="240" w:lineRule="auto"/>
              <w:jc w:val="both"/>
            </w:pPr>
            <w:r>
              <w:rPr>
                <w:rFonts w:ascii="Times New Roman" w:eastAsia="Times New Roman" w:hAnsi="Times New Roman"/>
                <w:b/>
                <w:bCs/>
              </w:rPr>
              <w:t>Interdependência e economia de escala</w:t>
            </w:r>
          </w:p>
          <w:p w14:paraId="11301A30" w14:textId="65282A5E" w:rsidR="0023179C" w:rsidRDefault="00CD3728" w:rsidP="00143ECF">
            <w:pPr>
              <w:spacing w:after="0" w:line="240" w:lineRule="auto"/>
              <w:jc w:val="both"/>
            </w:pPr>
            <w:r>
              <w:rPr>
                <w:rFonts w:ascii="Times New Roman" w:eastAsia="Times New Roman" w:hAnsi="Times New Roman"/>
              </w:rPr>
              <w:t>A contratação relaciona-se diretamente com a futura licitação da obra, da qual constituirá a base técnica. A reunião de todas as disciplinas em um único contrato reduz custos de mobilização e de gestão contratual, assegura a compatibilização entre os projetos e concentra a responsabilidade técnica, gerando ganhos de escala para a Administração.</w:t>
            </w:r>
          </w:p>
        </w:tc>
      </w:tr>
      <w:tr w:rsidR="0023179C" w14:paraId="010AEA9E" w14:textId="77777777">
        <w:tc>
          <w:tcPr>
            <w:tcW w:w="822" w:type="dxa"/>
            <w:tcBorders>
              <w:top w:val="single" w:sz="4" w:space="0" w:color="000000"/>
              <w:left w:val="single" w:sz="4" w:space="0" w:color="000000"/>
              <w:bottom w:val="single" w:sz="4" w:space="0" w:color="000000"/>
              <w:right w:val="single" w:sz="4" w:space="0" w:color="000000"/>
            </w:tcBorders>
          </w:tcPr>
          <w:p w14:paraId="4DF5D825" w14:textId="77777777" w:rsidR="0023179C" w:rsidRDefault="00CD3728" w:rsidP="00143ECF">
            <w:pPr>
              <w:spacing w:after="0" w:line="240" w:lineRule="auto"/>
              <w:jc w:val="center"/>
            </w:pPr>
            <w:r>
              <w:rPr>
                <w:rFonts w:ascii="Times New Roman" w:eastAsia="Times New Roman" w:hAnsi="Times New Roman"/>
                <w:b/>
                <w:bCs/>
              </w:rPr>
              <w:t>5.</w:t>
            </w:r>
          </w:p>
        </w:tc>
        <w:tc>
          <w:tcPr>
            <w:tcW w:w="9640" w:type="dxa"/>
            <w:tcBorders>
              <w:top w:val="single" w:sz="4" w:space="0" w:color="000000"/>
              <w:left w:val="single" w:sz="4" w:space="0" w:color="000000"/>
              <w:bottom w:val="single" w:sz="4" w:space="0" w:color="000000"/>
              <w:right w:val="single" w:sz="4" w:space="0" w:color="000000"/>
            </w:tcBorders>
          </w:tcPr>
          <w:p w14:paraId="6B71D962" w14:textId="77777777" w:rsidR="0023179C" w:rsidRDefault="00CD3728" w:rsidP="00143ECF">
            <w:pPr>
              <w:spacing w:after="0" w:line="240" w:lineRule="auto"/>
              <w:jc w:val="both"/>
            </w:pPr>
            <w:r>
              <w:rPr>
                <w:rFonts w:ascii="Times New Roman" w:eastAsia="Times New Roman" w:hAnsi="Times New Roman"/>
                <w:b/>
                <w:bCs/>
              </w:rPr>
              <w:t>Levantamento de mercado, que consiste na análise das alternativas possíveis, e justificativa técnica e econômica da escolha do tipo de solução a contratar.</w:t>
            </w:r>
          </w:p>
          <w:p w14:paraId="09AD6B8F" w14:textId="77777777" w:rsidR="0023179C" w:rsidRDefault="00CD3728" w:rsidP="00143ECF">
            <w:pPr>
              <w:spacing w:after="0" w:line="240" w:lineRule="auto"/>
              <w:jc w:val="both"/>
            </w:pPr>
            <w:r>
              <w:rPr>
                <w:rFonts w:ascii="Times New Roman" w:eastAsia="Times New Roman" w:hAnsi="Times New Roman"/>
              </w:rPr>
              <w:t>Procedeu-se ao levantamento de mercado, mediante consulta a empresas do ramo e a contratações similares de outros entes públicos, verificando-se a existência de diversas empresas e profissionais aptos à elaboração de projetos de edificações públicas com as disciplinas pretendidas. Foram examinadas as seguintes alternativas:</w:t>
            </w:r>
          </w:p>
          <w:p w14:paraId="5D03F03D" w14:textId="77777777" w:rsidR="0023179C" w:rsidRDefault="00CD3728" w:rsidP="00143ECF">
            <w:pPr>
              <w:keepNext/>
              <w:spacing w:after="0" w:line="240" w:lineRule="auto"/>
              <w:jc w:val="both"/>
            </w:pPr>
            <w:r>
              <w:rPr>
                <w:rFonts w:ascii="Times New Roman" w:eastAsia="Times New Roman" w:hAnsi="Times New Roman"/>
                <w:b/>
                <w:bCs/>
              </w:rPr>
              <w:t>a) Elaboração dos projetos por equipe própria do Município</w:t>
            </w:r>
          </w:p>
          <w:p w14:paraId="7B244333" w14:textId="77777777" w:rsidR="0023179C" w:rsidRDefault="00CD3728" w:rsidP="00143ECF">
            <w:pPr>
              <w:spacing w:after="0" w:line="240" w:lineRule="auto"/>
              <w:jc w:val="both"/>
            </w:pPr>
            <w:r>
              <w:rPr>
                <w:rFonts w:ascii="Times New Roman" w:eastAsia="Times New Roman" w:hAnsi="Times New Roman"/>
              </w:rPr>
              <w:t>Mostrou-se inadequada, diante da multiplicidade de disciplinas envolvidas (arquitetura, estrutura, fundações, contenções, instalações, PPCI, acesso rodoviário e orçamento), da necessidade de levantamentos de campo especializados (topografia e sondagem) e da insuficiência de equipe técnica municipal para desenvolver os produtos no nível de detalhamento exigido sem prejuízo de suas atribuições ordinárias.</w:t>
            </w:r>
          </w:p>
          <w:p w14:paraId="39330313" w14:textId="77777777" w:rsidR="0023179C" w:rsidRDefault="00CD3728" w:rsidP="00143ECF">
            <w:pPr>
              <w:keepNext/>
              <w:spacing w:after="0" w:line="240" w:lineRule="auto"/>
              <w:jc w:val="both"/>
            </w:pPr>
            <w:r>
              <w:rPr>
                <w:rFonts w:ascii="Times New Roman" w:eastAsia="Times New Roman" w:hAnsi="Times New Roman"/>
                <w:b/>
                <w:bCs/>
              </w:rPr>
              <w:t>b) Contratação fragmentada por disciplina</w:t>
            </w:r>
          </w:p>
          <w:p w14:paraId="7509BA01" w14:textId="77777777" w:rsidR="0023179C" w:rsidRDefault="00CD3728" w:rsidP="00143ECF">
            <w:pPr>
              <w:spacing w:after="0" w:line="240" w:lineRule="auto"/>
              <w:jc w:val="both"/>
            </w:pPr>
            <w:r>
              <w:rPr>
                <w:rFonts w:ascii="Times New Roman" w:eastAsia="Times New Roman" w:hAnsi="Times New Roman"/>
              </w:rPr>
              <w:t>Embora possível, aumentaria a complexidade da gestão contratual, o risco de incompatibilidade entre projetos e a dificuldade de atribuição de responsabilidades, especialmente nas interfaces entre arquitetura, estrutura, contenções do subsolo e instalações.</w:t>
            </w:r>
          </w:p>
          <w:p w14:paraId="1131AADB" w14:textId="77777777" w:rsidR="0023179C" w:rsidRDefault="00CD3728" w:rsidP="00143ECF">
            <w:pPr>
              <w:keepNext/>
              <w:spacing w:after="0" w:line="240" w:lineRule="auto"/>
              <w:jc w:val="both"/>
            </w:pPr>
            <w:r>
              <w:rPr>
                <w:rFonts w:ascii="Times New Roman" w:eastAsia="Times New Roman" w:hAnsi="Times New Roman"/>
                <w:b/>
                <w:bCs/>
              </w:rPr>
              <w:t>c) Contratação de profissional autônomo</w:t>
            </w:r>
          </w:p>
          <w:p w14:paraId="39745C04" w14:textId="77777777" w:rsidR="0023179C" w:rsidRDefault="00CD3728" w:rsidP="00143ECF">
            <w:pPr>
              <w:spacing w:after="0" w:line="240" w:lineRule="auto"/>
              <w:jc w:val="both"/>
            </w:pPr>
            <w:r>
              <w:rPr>
                <w:rFonts w:ascii="Times New Roman" w:eastAsia="Times New Roman" w:hAnsi="Times New Roman"/>
              </w:rPr>
              <w:t>Poderia atender apenas parcialmente à demanda, dada a abrangência do escopo e a necessidade de profissionais com atribuições distintas, com maior risco de insuficiência de recursos técnicos e de descumprimento de prazos.</w:t>
            </w:r>
          </w:p>
          <w:p w14:paraId="3FFAD1BB" w14:textId="77777777" w:rsidR="0023179C" w:rsidRDefault="00CD3728" w:rsidP="00143ECF">
            <w:pPr>
              <w:keepNext/>
              <w:spacing w:after="0" w:line="240" w:lineRule="auto"/>
              <w:jc w:val="both"/>
            </w:pPr>
            <w:r>
              <w:rPr>
                <w:rFonts w:ascii="Times New Roman" w:eastAsia="Times New Roman" w:hAnsi="Times New Roman"/>
                <w:b/>
                <w:bCs/>
              </w:rPr>
              <w:lastRenderedPageBreak/>
              <w:t>d) Contratação da obra pelo regime de contratação integrada</w:t>
            </w:r>
          </w:p>
          <w:p w14:paraId="144CC954" w14:textId="77777777" w:rsidR="0023179C" w:rsidRDefault="00CD3728" w:rsidP="00143ECF">
            <w:pPr>
              <w:spacing w:after="0" w:line="240" w:lineRule="auto"/>
              <w:jc w:val="both"/>
            </w:pPr>
            <w:r>
              <w:rPr>
                <w:rFonts w:ascii="Times New Roman" w:eastAsia="Times New Roman" w:hAnsi="Times New Roman"/>
              </w:rPr>
              <w:t>Transferiria ao executor a elaboração dos projetos básico e executivo. Para uma edificação de pequeno porte, tal regime reduziria o controle da Administração sobre as soluções adotadas, dificultaria a captação de recursos (que exige projeto prévio) e tenderia a elevar o preço em razão da maior alocação de riscos ao contratado, não se mostrando vantajoso.</w:t>
            </w:r>
          </w:p>
          <w:p w14:paraId="60D45F8D" w14:textId="77777777" w:rsidR="0023179C" w:rsidRDefault="00CD3728" w:rsidP="00143ECF">
            <w:pPr>
              <w:keepNext/>
              <w:spacing w:after="0" w:line="240" w:lineRule="auto"/>
              <w:jc w:val="both"/>
            </w:pPr>
            <w:r>
              <w:rPr>
                <w:rFonts w:ascii="Times New Roman" w:eastAsia="Times New Roman" w:hAnsi="Times New Roman"/>
                <w:b/>
                <w:bCs/>
              </w:rPr>
              <w:t>e) Contratação de empresa especializada para elaboração integrada dos projetos</w:t>
            </w:r>
          </w:p>
          <w:p w14:paraId="4E627B5D" w14:textId="77777777" w:rsidR="0023179C" w:rsidRDefault="00CD3728" w:rsidP="00143ECF">
            <w:pPr>
              <w:spacing w:after="0" w:line="240" w:lineRule="auto"/>
              <w:jc w:val="both"/>
            </w:pPr>
            <w:r>
              <w:rPr>
                <w:rFonts w:ascii="Times New Roman" w:eastAsia="Times New Roman" w:hAnsi="Times New Roman"/>
              </w:rPr>
              <w:t>Mostrou-se a alternativa mais adequada e vantajosa, por permitir a centralização da responsabilidade técnica, a compatibilização entre as disciplinas, a padronização dos documentos e maior eficiência na fiscalização. Sob o aspecto econômico, possibilita maior precisão na estimativa do custo da obra e reduz riscos de retrabalho, aditivos e paralisações decorrentes de deficiências de projeto.</w:t>
            </w:r>
          </w:p>
          <w:p w14:paraId="7444735F" w14:textId="50EE367C" w:rsidR="0023179C" w:rsidRDefault="00CD3728" w:rsidP="00143ECF">
            <w:pPr>
              <w:spacing w:after="0" w:line="240" w:lineRule="auto"/>
              <w:jc w:val="both"/>
            </w:pPr>
            <w:r>
              <w:rPr>
                <w:rFonts w:ascii="Times New Roman" w:eastAsia="Times New Roman" w:hAnsi="Times New Roman"/>
              </w:rPr>
              <w:t>Conclui-se, assim, que a contratação de empresa especializada para elaboração integrada dos estudos e projetos constitui a solução técnica e economicamente mais vantajosa, em conformidade com os princípios do planejamento, da eficiência e da economicidade previstos na Lei nº 14.133/2021.</w:t>
            </w:r>
          </w:p>
        </w:tc>
      </w:tr>
      <w:tr w:rsidR="0023179C" w14:paraId="15631EEF" w14:textId="77777777">
        <w:tc>
          <w:tcPr>
            <w:tcW w:w="822" w:type="dxa"/>
            <w:tcBorders>
              <w:top w:val="single" w:sz="4" w:space="0" w:color="000000"/>
              <w:left w:val="single" w:sz="4" w:space="0" w:color="000000"/>
              <w:bottom w:val="single" w:sz="4" w:space="0" w:color="000000"/>
              <w:right w:val="single" w:sz="4" w:space="0" w:color="000000"/>
            </w:tcBorders>
          </w:tcPr>
          <w:p w14:paraId="1AD7607B" w14:textId="77777777" w:rsidR="0023179C" w:rsidRDefault="00CD3728" w:rsidP="00143ECF">
            <w:pPr>
              <w:spacing w:after="0" w:line="240" w:lineRule="auto"/>
              <w:jc w:val="center"/>
            </w:pPr>
            <w:r>
              <w:rPr>
                <w:rFonts w:ascii="Times New Roman" w:eastAsia="Times New Roman" w:hAnsi="Times New Roman"/>
                <w:b/>
                <w:bCs/>
              </w:rPr>
              <w:lastRenderedPageBreak/>
              <w:t>6.</w:t>
            </w:r>
          </w:p>
        </w:tc>
        <w:tc>
          <w:tcPr>
            <w:tcW w:w="9640" w:type="dxa"/>
            <w:tcBorders>
              <w:top w:val="single" w:sz="4" w:space="0" w:color="000000"/>
              <w:left w:val="single" w:sz="4" w:space="0" w:color="000000"/>
              <w:bottom w:val="single" w:sz="4" w:space="0" w:color="000000"/>
              <w:right w:val="single" w:sz="4" w:space="0" w:color="000000"/>
            </w:tcBorders>
          </w:tcPr>
          <w:p w14:paraId="539D0130" w14:textId="77777777" w:rsidR="0023179C" w:rsidRDefault="00CD3728" w:rsidP="00143ECF">
            <w:pPr>
              <w:spacing w:after="0" w:line="240" w:lineRule="auto"/>
              <w:jc w:val="both"/>
            </w:pPr>
            <w:r>
              <w:rPr>
                <w:rFonts w:ascii="Times New Roman" w:eastAsia="Times New Roman" w:hAnsi="Times New Roman"/>
                <w:b/>
                <w:bCs/>
              </w:rPr>
              <w:t>Estimativa do valor da contratação, acompanhada dos preços unitários referenciais, das memórias de cálculo e dos documentos que lhe dão suporte.</w:t>
            </w:r>
          </w:p>
          <w:p w14:paraId="49435DC0" w14:textId="77777777" w:rsidR="0023179C" w:rsidRDefault="00CD3728" w:rsidP="00143ECF">
            <w:pPr>
              <w:spacing w:after="0" w:line="240" w:lineRule="auto"/>
              <w:jc w:val="both"/>
            </w:pPr>
            <w:r>
              <w:rPr>
                <w:rFonts w:ascii="Times New Roman" w:eastAsia="Times New Roman" w:hAnsi="Times New Roman"/>
              </w:rPr>
              <w:t>A estimativa foi elaborada em observância ao art. 23, § 2º, III, da Lei nº 14.133/2021, mediante pesquisa de preços de contratações similares realizadas por outros entes públicos no período de um ano, obtidas no Portal Nacional de Contratações Públicas – PNCP e em portal de transparência municipal, conforme relatório de cotação juntado aos autos, que apresentou os seguintes resultados:</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900"/>
              <w:gridCol w:w="3300"/>
              <w:gridCol w:w="1100"/>
              <w:gridCol w:w="1940"/>
            </w:tblGrid>
            <w:tr w:rsidR="0023179C" w14:paraId="5FCA5610" w14:textId="77777777">
              <w:trPr>
                <w:tblHeader/>
              </w:trPr>
              <w:tc>
                <w:tcPr>
                  <w:tcW w:w="2900" w:type="dxa"/>
                  <w:shd w:val="clear" w:color="auto" w:fill="D9D9D9"/>
                  <w:vAlign w:val="center"/>
                </w:tcPr>
                <w:p w14:paraId="38705FAC" w14:textId="77777777" w:rsidR="0023179C" w:rsidRDefault="00CD3728" w:rsidP="00143ECF">
                  <w:pPr>
                    <w:spacing w:after="0" w:line="240" w:lineRule="auto"/>
                    <w:jc w:val="center"/>
                  </w:pPr>
                  <w:r>
                    <w:rPr>
                      <w:rFonts w:ascii="Times New Roman" w:eastAsia="Times New Roman" w:hAnsi="Times New Roman"/>
                      <w:b/>
                      <w:bCs/>
                      <w:sz w:val="20"/>
                      <w:szCs w:val="20"/>
                    </w:rPr>
                    <w:t>Fonte</w:t>
                  </w:r>
                </w:p>
              </w:tc>
              <w:tc>
                <w:tcPr>
                  <w:tcW w:w="3300" w:type="dxa"/>
                  <w:shd w:val="clear" w:color="auto" w:fill="D9D9D9"/>
                  <w:vAlign w:val="center"/>
                </w:tcPr>
                <w:p w14:paraId="4A1329EB" w14:textId="77777777" w:rsidR="0023179C" w:rsidRDefault="00CD3728" w:rsidP="00143ECF">
                  <w:pPr>
                    <w:spacing w:after="0" w:line="240" w:lineRule="auto"/>
                    <w:jc w:val="center"/>
                  </w:pPr>
                  <w:r>
                    <w:rPr>
                      <w:rFonts w:ascii="Times New Roman" w:eastAsia="Times New Roman" w:hAnsi="Times New Roman"/>
                      <w:b/>
                      <w:bCs/>
                      <w:sz w:val="20"/>
                      <w:szCs w:val="20"/>
                    </w:rPr>
                    <w:t>Objeto de referência</w:t>
                  </w:r>
                </w:p>
              </w:tc>
              <w:tc>
                <w:tcPr>
                  <w:tcW w:w="1100" w:type="dxa"/>
                  <w:shd w:val="clear" w:color="auto" w:fill="D9D9D9"/>
                  <w:vAlign w:val="center"/>
                </w:tcPr>
                <w:p w14:paraId="5C3BED71" w14:textId="77777777" w:rsidR="0023179C" w:rsidRDefault="00CD3728" w:rsidP="00143ECF">
                  <w:pPr>
                    <w:spacing w:after="0" w:line="240" w:lineRule="auto"/>
                    <w:jc w:val="center"/>
                  </w:pPr>
                  <w:r>
                    <w:rPr>
                      <w:rFonts w:ascii="Times New Roman" w:eastAsia="Times New Roman" w:hAnsi="Times New Roman"/>
                      <w:b/>
                      <w:bCs/>
                      <w:sz w:val="20"/>
                      <w:szCs w:val="20"/>
                    </w:rPr>
                    <w:t>Unidade</w:t>
                  </w:r>
                </w:p>
              </w:tc>
              <w:tc>
                <w:tcPr>
                  <w:tcW w:w="1940" w:type="dxa"/>
                  <w:shd w:val="clear" w:color="auto" w:fill="D9D9D9"/>
                  <w:vAlign w:val="center"/>
                </w:tcPr>
                <w:p w14:paraId="0210F66D" w14:textId="77777777" w:rsidR="0023179C" w:rsidRDefault="00CD3728" w:rsidP="00143ECF">
                  <w:pPr>
                    <w:spacing w:after="0" w:line="240" w:lineRule="auto"/>
                    <w:jc w:val="center"/>
                  </w:pPr>
                  <w:r>
                    <w:rPr>
                      <w:rFonts w:ascii="Times New Roman" w:eastAsia="Times New Roman" w:hAnsi="Times New Roman"/>
                      <w:b/>
                      <w:bCs/>
                      <w:sz w:val="20"/>
                      <w:szCs w:val="20"/>
                    </w:rPr>
                    <w:t>Valor (R$/m²)</w:t>
                  </w:r>
                </w:p>
              </w:tc>
            </w:tr>
            <w:tr w:rsidR="0023179C" w14:paraId="417979D8" w14:textId="77777777">
              <w:tc>
                <w:tcPr>
                  <w:tcW w:w="2900" w:type="dxa"/>
                  <w:vAlign w:val="center"/>
                </w:tcPr>
                <w:p w14:paraId="705492EE" w14:textId="77777777" w:rsidR="0023179C" w:rsidRDefault="00CD3728" w:rsidP="00143ECF">
                  <w:pPr>
                    <w:spacing w:after="0" w:line="240" w:lineRule="auto"/>
                  </w:pPr>
                  <w:r>
                    <w:rPr>
                      <w:rFonts w:ascii="Times New Roman" w:eastAsia="Times New Roman" w:hAnsi="Times New Roman"/>
                      <w:sz w:val="20"/>
                      <w:szCs w:val="20"/>
                    </w:rPr>
                    <w:t>PNCP – Município de Balneário Rincão/SC, Concorrência Eletrônica (17243084000197-1-000087/2026), item 2, homologada em 10/09/2026</w:t>
                  </w:r>
                </w:p>
              </w:tc>
              <w:tc>
                <w:tcPr>
                  <w:tcW w:w="3300" w:type="dxa"/>
                  <w:vAlign w:val="center"/>
                </w:tcPr>
                <w:p w14:paraId="7795B39C" w14:textId="77777777" w:rsidR="0023179C" w:rsidRDefault="00CD3728" w:rsidP="00143ECF">
                  <w:pPr>
                    <w:spacing w:after="0" w:line="240" w:lineRule="auto"/>
                  </w:pPr>
                  <w:r>
                    <w:rPr>
                      <w:rFonts w:ascii="Times New Roman" w:eastAsia="Times New Roman" w:hAnsi="Times New Roman"/>
                      <w:sz w:val="20"/>
                      <w:szCs w:val="20"/>
                    </w:rPr>
                    <w:t>Projeto arquitetônico e projetos complementares do CREAS (525 m²)</w:t>
                  </w:r>
                </w:p>
              </w:tc>
              <w:tc>
                <w:tcPr>
                  <w:tcW w:w="1100" w:type="dxa"/>
                  <w:vAlign w:val="center"/>
                </w:tcPr>
                <w:p w14:paraId="45187151" w14:textId="77777777" w:rsidR="0023179C" w:rsidRDefault="00CD3728" w:rsidP="00143ECF">
                  <w:pPr>
                    <w:spacing w:after="0" w:line="240" w:lineRule="auto"/>
                    <w:jc w:val="center"/>
                  </w:pPr>
                  <w:r>
                    <w:rPr>
                      <w:rFonts w:ascii="Times New Roman" w:eastAsia="Times New Roman" w:hAnsi="Times New Roman"/>
                      <w:sz w:val="20"/>
                      <w:szCs w:val="20"/>
                    </w:rPr>
                    <w:t>m²</w:t>
                  </w:r>
                </w:p>
              </w:tc>
              <w:tc>
                <w:tcPr>
                  <w:tcW w:w="1940" w:type="dxa"/>
                  <w:vAlign w:val="center"/>
                </w:tcPr>
                <w:p w14:paraId="55BFFDD3" w14:textId="77777777" w:rsidR="0023179C" w:rsidRDefault="00CD3728" w:rsidP="00143ECF">
                  <w:pPr>
                    <w:spacing w:after="0" w:line="240" w:lineRule="auto"/>
                    <w:jc w:val="center"/>
                  </w:pPr>
                  <w:r>
                    <w:rPr>
                      <w:rFonts w:ascii="Times New Roman" w:eastAsia="Times New Roman" w:hAnsi="Times New Roman"/>
                      <w:sz w:val="20"/>
                      <w:szCs w:val="20"/>
                    </w:rPr>
                    <w:t>34,50</w:t>
                  </w:r>
                </w:p>
              </w:tc>
            </w:tr>
            <w:tr w:rsidR="0023179C" w14:paraId="26578308" w14:textId="77777777">
              <w:tc>
                <w:tcPr>
                  <w:tcW w:w="2900" w:type="dxa"/>
                  <w:vAlign w:val="center"/>
                </w:tcPr>
                <w:p w14:paraId="6C442669" w14:textId="77777777" w:rsidR="0023179C" w:rsidRDefault="00CD3728" w:rsidP="00143ECF">
                  <w:pPr>
                    <w:spacing w:after="0" w:line="240" w:lineRule="auto"/>
                  </w:pPr>
                  <w:r>
                    <w:rPr>
                      <w:rFonts w:ascii="Times New Roman" w:eastAsia="Times New Roman" w:hAnsi="Times New Roman"/>
                      <w:sz w:val="20"/>
                      <w:szCs w:val="20"/>
                    </w:rPr>
                    <w:t>PNCP – Município de Balneário Rincão/SC, Concorrência Eletrônica (17243084000197-1-000087/2026), item 1, homologada em 10/09/2026</w:t>
                  </w:r>
                </w:p>
              </w:tc>
              <w:tc>
                <w:tcPr>
                  <w:tcW w:w="3300" w:type="dxa"/>
                  <w:vAlign w:val="center"/>
                </w:tcPr>
                <w:p w14:paraId="0D828D46" w14:textId="77777777" w:rsidR="0023179C" w:rsidRDefault="00CD3728" w:rsidP="00143ECF">
                  <w:pPr>
                    <w:spacing w:after="0" w:line="240" w:lineRule="auto"/>
                  </w:pPr>
                  <w:r>
                    <w:rPr>
                      <w:rFonts w:ascii="Times New Roman" w:eastAsia="Times New Roman" w:hAnsi="Times New Roman"/>
                      <w:sz w:val="20"/>
                      <w:szCs w:val="20"/>
                    </w:rPr>
                    <w:t xml:space="preserve">Projetos complementares de engenharia </w:t>
                  </w:r>
                  <w:r w:rsidR="003E5D9E">
                    <w:rPr>
                      <w:rFonts w:ascii="Times New Roman" w:eastAsia="Times New Roman" w:hAnsi="Times New Roman"/>
                      <w:sz w:val="20"/>
                      <w:szCs w:val="20"/>
                    </w:rPr>
                    <w:t xml:space="preserve">para construção de nova </w:t>
                  </w:r>
                  <w:r>
                    <w:rPr>
                      <w:rFonts w:ascii="Times New Roman" w:eastAsia="Times New Roman" w:hAnsi="Times New Roman"/>
                      <w:sz w:val="20"/>
                      <w:szCs w:val="20"/>
                    </w:rPr>
                    <w:t xml:space="preserve"> Delegacia (471,66 m²)</w:t>
                  </w:r>
                </w:p>
              </w:tc>
              <w:tc>
                <w:tcPr>
                  <w:tcW w:w="1100" w:type="dxa"/>
                  <w:vAlign w:val="center"/>
                </w:tcPr>
                <w:p w14:paraId="6472651C" w14:textId="77777777" w:rsidR="0023179C" w:rsidRDefault="00CD3728" w:rsidP="00143ECF">
                  <w:pPr>
                    <w:spacing w:after="0" w:line="240" w:lineRule="auto"/>
                    <w:jc w:val="center"/>
                  </w:pPr>
                  <w:r>
                    <w:rPr>
                      <w:rFonts w:ascii="Times New Roman" w:eastAsia="Times New Roman" w:hAnsi="Times New Roman"/>
                      <w:sz w:val="20"/>
                      <w:szCs w:val="20"/>
                    </w:rPr>
                    <w:t>m²</w:t>
                  </w:r>
                </w:p>
              </w:tc>
              <w:tc>
                <w:tcPr>
                  <w:tcW w:w="1940" w:type="dxa"/>
                  <w:vAlign w:val="center"/>
                </w:tcPr>
                <w:p w14:paraId="139DC33C" w14:textId="77777777" w:rsidR="0023179C" w:rsidRDefault="00CD3728" w:rsidP="00143ECF">
                  <w:pPr>
                    <w:spacing w:after="0" w:line="240" w:lineRule="auto"/>
                    <w:jc w:val="center"/>
                  </w:pPr>
                  <w:r>
                    <w:rPr>
                      <w:rFonts w:ascii="Times New Roman" w:eastAsia="Times New Roman" w:hAnsi="Times New Roman"/>
                      <w:sz w:val="20"/>
                      <w:szCs w:val="20"/>
                    </w:rPr>
                    <w:t>20,00</w:t>
                  </w:r>
                </w:p>
              </w:tc>
            </w:tr>
            <w:tr w:rsidR="0023179C" w14:paraId="3E1BFA1A" w14:textId="77777777">
              <w:tc>
                <w:tcPr>
                  <w:tcW w:w="2900" w:type="dxa"/>
                  <w:vAlign w:val="center"/>
                </w:tcPr>
                <w:p w14:paraId="064A8028" w14:textId="77777777" w:rsidR="0023179C" w:rsidRDefault="00CD3728" w:rsidP="00143ECF">
                  <w:pPr>
                    <w:spacing w:after="0" w:line="240" w:lineRule="auto"/>
                  </w:pPr>
                  <w:r>
                    <w:rPr>
                      <w:rFonts w:ascii="Times New Roman" w:eastAsia="Times New Roman" w:hAnsi="Times New Roman"/>
                      <w:sz w:val="20"/>
                      <w:szCs w:val="20"/>
                    </w:rPr>
                    <w:t>Município de Guamiranga/PR – Inexigibilidade (adesão à ARP nº 25/2026), de 31/07/2026</w:t>
                  </w:r>
                </w:p>
              </w:tc>
              <w:tc>
                <w:tcPr>
                  <w:tcW w:w="3300" w:type="dxa"/>
                  <w:vAlign w:val="center"/>
                </w:tcPr>
                <w:p w14:paraId="7323457C" w14:textId="77777777" w:rsidR="0023179C" w:rsidRDefault="003E5D9E" w:rsidP="00143ECF">
                  <w:pPr>
                    <w:spacing w:after="0" w:line="240" w:lineRule="auto"/>
                  </w:pPr>
                  <w:r>
                    <w:rPr>
                      <w:rFonts w:ascii="Times New Roman" w:eastAsia="Times New Roman" w:hAnsi="Times New Roman"/>
                      <w:sz w:val="20"/>
                      <w:szCs w:val="20"/>
                    </w:rPr>
                    <w:t xml:space="preserve">Serviços de engenharia, </w:t>
                  </w:r>
                  <w:r w:rsidR="00CD3728">
                    <w:rPr>
                      <w:rFonts w:ascii="Times New Roman" w:eastAsia="Times New Roman" w:hAnsi="Times New Roman"/>
                      <w:sz w:val="20"/>
                      <w:szCs w:val="20"/>
                    </w:rPr>
                    <w:t>incluindo elaboração de projetos executivos</w:t>
                  </w:r>
                  <w:r>
                    <w:rPr>
                      <w:rFonts w:ascii="Times New Roman" w:eastAsia="Times New Roman" w:hAnsi="Times New Roman"/>
                      <w:sz w:val="20"/>
                      <w:szCs w:val="20"/>
                    </w:rPr>
                    <w:t>,</w:t>
                  </w:r>
                </w:p>
              </w:tc>
              <w:tc>
                <w:tcPr>
                  <w:tcW w:w="1100" w:type="dxa"/>
                  <w:vAlign w:val="center"/>
                </w:tcPr>
                <w:p w14:paraId="2B2DA6C6" w14:textId="77777777" w:rsidR="0023179C" w:rsidRDefault="003E5D9E" w:rsidP="00143ECF">
                  <w:pPr>
                    <w:spacing w:after="0" w:line="240" w:lineRule="auto"/>
                    <w:jc w:val="center"/>
                  </w:pPr>
                  <w:r>
                    <w:rPr>
                      <w:rFonts w:ascii="Times New Roman" w:eastAsia="Times New Roman" w:hAnsi="Times New Roman"/>
                      <w:sz w:val="20"/>
                      <w:szCs w:val="20"/>
                    </w:rPr>
                    <w:t>m²</w:t>
                  </w:r>
                </w:p>
              </w:tc>
              <w:tc>
                <w:tcPr>
                  <w:tcW w:w="1940" w:type="dxa"/>
                  <w:vAlign w:val="center"/>
                </w:tcPr>
                <w:p w14:paraId="1163D62B" w14:textId="77777777" w:rsidR="0023179C" w:rsidRDefault="00CD3728" w:rsidP="00143ECF">
                  <w:pPr>
                    <w:spacing w:after="0" w:line="240" w:lineRule="auto"/>
                    <w:jc w:val="center"/>
                  </w:pPr>
                  <w:r>
                    <w:rPr>
                      <w:rFonts w:ascii="Times New Roman" w:eastAsia="Times New Roman" w:hAnsi="Times New Roman"/>
                      <w:sz w:val="20"/>
                      <w:szCs w:val="20"/>
                    </w:rPr>
                    <w:t>55,00</w:t>
                  </w:r>
                </w:p>
              </w:tc>
            </w:tr>
            <w:tr w:rsidR="0023179C" w14:paraId="5E93CB6D" w14:textId="77777777">
              <w:tc>
                <w:tcPr>
                  <w:tcW w:w="2900" w:type="dxa"/>
                  <w:vAlign w:val="center"/>
                </w:tcPr>
                <w:p w14:paraId="5256800D" w14:textId="77777777" w:rsidR="0023179C" w:rsidRDefault="00CD3728" w:rsidP="00143ECF">
                  <w:pPr>
                    <w:spacing w:after="0" w:line="240" w:lineRule="auto"/>
                  </w:pPr>
                  <w:r>
                    <w:rPr>
                      <w:rFonts w:ascii="Times New Roman" w:eastAsia="Times New Roman" w:hAnsi="Times New Roman"/>
                      <w:b/>
                      <w:bCs/>
                      <w:sz w:val="20"/>
                      <w:szCs w:val="20"/>
                    </w:rPr>
                    <w:t>Mediana dos preços obtidos</w:t>
                  </w:r>
                </w:p>
              </w:tc>
              <w:tc>
                <w:tcPr>
                  <w:tcW w:w="3300" w:type="dxa"/>
                  <w:vAlign w:val="center"/>
                </w:tcPr>
                <w:p w14:paraId="5B7B4CEF" w14:textId="77777777" w:rsidR="0023179C" w:rsidRDefault="0023179C" w:rsidP="00143ECF">
                  <w:pPr>
                    <w:spacing w:after="0" w:line="240" w:lineRule="auto"/>
                    <w:jc w:val="center"/>
                  </w:pPr>
                </w:p>
              </w:tc>
              <w:tc>
                <w:tcPr>
                  <w:tcW w:w="1100" w:type="dxa"/>
                  <w:vAlign w:val="center"/>
                </w:tcPr>
                <w:p w14:paraId="24436157" w14:textId="77777777" w:rsidR="0023179C" w:rsidRDefault="0023179C" w:rsidP="00143ECF">
                  <w:pPr>
                    <w:spacing w:after="0" w:line="240" w:lineRule="auto"/>
                    <w:jc w:val="center"/>
                  </w:pPr>
                </w:p>
              </w:tc>
              <w:tc>
                <w:tcPr>
                  <w:tcW w:w="1940" w:type="dxa"/>
                  <w:vAlign w:val="center"/>
                </w:tcPr>
                <w:p w14:paraId="47FA0B64" w14:textId="77777777" w:rsidR="0023179C" w:rsidRDefault="00CD3728" w:rsidP="00143ECF">
                  <w:pPr>
                    <w:spacing w:after="0" w:line="240" w:lineRule="auto"/>
                    <w:jc w:val="center"/>
                  </w:pPr>
                  <w:r>
                    <w:rPr>
                      <w:rFonts w:ascii="Times New Roman" w:eastAsia="Times New Roman" w:hAnsi="Times New Roman"/>
                      <w:b/>
                      <w:bCs/>
                      <w:sz w:val="20"/>
                      <w:szCs w:val="20"/>
                    </w:rPr>
                    <w:t>34,50</w:t>
                  </w:r>
                </w:p>
              </w:tc>
            </w:tr>
          </w:tbl>
          <w:p w14:paraId="66EFF51A" w14:textId="77777777" w:rsidR="0023179C" w:rsidRDefault="0023179C" w:rsidP="00143ECF">
            <w:pPr>
              <w:spacing w:after="0" w:line="240" w:lineRule="auto"/>
              <w:jc w:val="both"/>
            </w:pPr>
          </w:p>
          <w:p w14:paraId="1E9AE4DA" w14:textId="77777777" w:rsidR="0023179C" w:rsidRDefault="00CD3728" w:rsidP="00143ECF">
            <w:pPr>
              <w:spacing w:after="0" w:line="240" w:lineRule="auto"/>
              <w:jc w:val="both"/>
            </w:pPr>
            <w:r>
              <w:rPr>
                <w:rFonts w:ascii="Times New Roman" w:eastAsia="Times New Roman" w:hAnsi="Times New Roman"/>
              </w:rPr>
              <w:t xml:space="preserve">Adotou-se como critério a </w:t>
            </w:r>
            <w:r>
              <w:rPr>
                <w:rFonts w:ascii="Times New Roman" w:eastAsia="Times New Roman" w:hAnsi="Times New Roman"/>
                <w:b/>
                <w:bCs/>
              </w:rPr>
              <w:t>mediana</w:t>
            </w:r>
            <w:r>
              <w:rPr>
                <w:rFonts w:ascii="Times New Roman" w:eastAsia="Times New Roman" w:hAnsi="Times New Roman"/>
              </w:rPr>
              <w:t xml:space="preserve"> dos preços obtidos, por ser menos sensível a valores extremos, reduzindo a influência de referências discrepantes. O valor resultante, de R$ 34,50 por metro quadrado, coincide com o da referência de maior similaridade com o objeto – a contratação de projeto arquitetônico e complementares do CREAS de Balneário Rincão/SC, com área semelhante à pretendida –, o que corrobora sua adequação ao mercado.</w:t>
            </w:r>
          </w:p>
          <w:p w14:paraId="374A4315" w14:textId="77777777" w:rsidR="0023179C" w:rsidRDefault="00CD3728" w:rsidP="00143ECF">
            <w:pPr>
              <w:keepNext/>
              <w:spacing w:after="0" w:line="240" w:lineRule="auto"/>
              <w:jc w:val="both"/>
            </w:pPr>
            <w:r>
              <w:rPr>
                <w:rFonts w:ascii="Times New Roman" w:eastAsia="Times New Roman" w:hAnsi="Times New Roman"/>
                <w:b/>
                <w:bCs/>
              </w:rPr>
              <w:t>Memória de cálculo</w:t>
            </w:r>
          </w:p>
          <w:p w14:paraId="36FC45D6" w14:textId="77777777" w:rsidR="0023179C" w:rsidRDefault="00CD3728" w:rsidP="00143ECF">
            <w:pPr>
              <w:spacing w:after="0" w:line="240" w:lineRule="auto"/>
              <w:jc w:val="both"/>
            </w:pPr>
            <w:r>
              <w:rPr>
                <w:rFonts w:ascii="Times New Roman" w:eastAsia="Times New Roman" w:hAnsi="Times New Roman"/>
              </w:rPr>
              <w:t xml:space="preserve">R$ 34,50/m² (mediana) x 500 m² (área construída estimada) = </w:t>
            </w:r>
            <w:r>
              <w:rPr>
                <w:rFonts w:ascii="Times New Roman" w:eastAsia="Times New Roman" w:hAnsi="Times New Roman"/>
                <w:b/>
                <w:bCs/>
              </w:rPr>
              <w:t>R$ 17.250,00 (dezessete mil, duzentos e cinquenta reais)</w:t>
            </w:r>
            <w:r>
              <w:rPr>
                <w:rFonts w:ascii="Times New Roman" w:eastAsia="Times New Roman" w:hAnsi="Times New Roman"/>
              </w:rPr>
              <w:t>, valor máximo admitido para a contratação.</w:t>
            </w:r>
          </w:p>
          <w:p w14:paraId="0843355E" w14:textId="5DAD00D2" w:rsidR="0023179C" w:rsidRDefault="00CD3728" w:rsidP="00143ECF">
            <w:pPr>
              <w:spacing w:after="0" w:line="240" w:lineRule="auto"/>
              <w:jc w:val="both"/>
            </w:pPr>
            <w:r>
              <w:rPr>
                <w:rFonts w:ascii="Times New Roman" w:eastAsia="Times New Roman" w:hAnsi="Times New Roman"/>
              </w:rPr>
              <w:t>Os documentos que embasam a estimativa, incluindo o relatório de cotação e as fontes consultadas, integram os autos do processo administrativo.</w:t>
            </w:r>
          </w:p>
        </w:tc>
      </w:tr>
      <w:tr w:rsidR="0023179C" w14:paraId="6F8999AF" w14:textId="77777777">
        <w:tc>
          <w:tcPr>
            <w:tcW w:w="822" w:type="dxa"/>
            <w:tcBorders>
              <w:top w:val="single" w:sz="4" w:space="0" w:color="000000"/>
              <w:left w:val="single" w:sz="4" w:space="0" w:color="000000"/>
              <w:bottom w:val="single" w:sz="4" w:space="0" w:color="000000"/>
              <w:right w:val="single" w:sz="4" w:space="0" w:color="000000"/>
            </w:tcBorders>
          </w:tcPr>
          <w:p w14:paraId="16A66AC1" w14:textId="77777777" w:rsidR="0023179C" w:rsidRDefault="00CD3728" w:rsidP="00143ECF">
            <w:pPr>
              <w:spacing w:after="0" w:line="240" w:lineRule="auto"/>
              <w:jc w:val="center"/>
            </w:pPr>
            <w:r>
              <w:rPr>
                <w:rFonts w:ascii="Times New Roman" w:eastAsia="Times New Roman" w:hAnsi="Times New Roman"/>
                <w:b/>
                <w:bCs/>
              </w:rPr>
              <w:t>7.</w:t>
            </w:r>
          </w:p>
        </w:tc>
        <w:tc>
          <w:tcPr>
            <w:tcW w:w="9640" w:type="dxa"/>
            <w:tcBorders>
              <w:top w:val="single" w:sz="4" w:space="0" w:color="000000"/>
              <w:left w:val="single" w:sz="4" w:space="0" w:color="000000"/>
              <w:bottom w:val="single" w:sz="4" w:space="0" w:color="000000"/>
              <w:right w:val="single" w:sz="4" w:space="0" w:color="000000"/>
            </w:tcBorders>
          </w:tcPr>
          <w:p w14:paraId="095A1CDF" w14:textId="77777777" w:rsidR="0023179C" w:rsidRDefault="00CD3728" w:rsidP="00143ECF">
            <w:pPr>
              <w:spacing w:after="0" w:line="240" w:lineRule="auto"/>
              <w:jc w:val="both"/>
            </w:pPr>
            <w:r>
              <w:rPr>
                <w:rFonts w:ascii="Times New Roman" w:eastAsia="Times New Roman" w:hAnsi="Times New Roman"/>
                <w:b/>
                <w:bCs/>
              </w:rPr>
              <w:t>Descrição da solução como um todo.</w:t>
            </w:r>
          </w:p>
          <w:p w14:paraId="611257AC" w14:textId="77777777" w:rsidR="0023179C" w:rsidRDefault="00CD3728" w:rsidP="00143ECF">
            <w:pPr>
              <w:spacing w:after="0" w:line="240" w:lineRule="auto"/>
              <w:jc w:val="both"/>
            </w:pPr>
            <w:r>
              <w:rPr>
                <w:rFonts w:ascii="Times New Roman" w:eastAsia="Times New Roman" w:hAnsi="Times New Roman"/>
              </w:rPr>
              <w:t>A solução consiste na contratação de empresa especializada para elaboração de todos os estudos, levantamentos, projetos, memoriais, quantitativos, orçamentos e demais documentos técnicos necessários à construção da nova sede da Secretaria Municipal de Agricultura e Meio Ambiente e à implantação do Viveiro Municipal e da infraestrutura de estacionamento e acesso, em nível suficiente para a licitação e execução da obra. O escopo mínimo compreende:</w:t>
            </w:r>
          </w:p>
          <w:p w14:paraId="17BA5853" w14:textId="77777777" w:rsidR="0023179C" w:rsidRDefault="00CD3728" w:rsidP="00143ECF">
            <w:pPr>
              <w:keepNext/>
              <w:spacing w:after="0" w:line="240" w:lineRule="auto"/>
              <w:jc w:val="both"/>
            </w:pPr>
            <w:r>
              <w:rPr>
                <w:rFonts w:ascii="Times New Roman" w:eastAsia="Times New Roman" w:hAnsi="Times New Roman"/>
                <w:b/>
                <w:bCs/>
              </w:rPr>
              <w:t>A) Estudos e levantamentos preliminares</w:t>
            </w:r>
          </w:p>
          <w:p w14:paraId="62DB1EC6" w14:textId="77777777" w:rsidR="0023179C" w:rsidRDefault="00CD3728" w:rsidP="00143ECF">
            <w:pPr>
              <w:spacing w:after="0" w:line="240" w:lineRule="auto"/>
              <w:ind w:left="426" w:hanging="284"/>
              <w:jc w:val="both"/>
            </w:pPr>
            <w:r>
              <w:rPr>
                <w:rFonts w:ascii="Times New Roman" w:eastAsia="Times New Roman" w:hAnsi="Times New Roman"/>
              </w:rPr>
              <w:t>a) levantamento planialtimétrico cadastral do terreno e do entorno imediato (ABNT NBR 13133), com curvas de nível de metro em metro, divisas, edificações e árvores existentes, redes de infraestrutura, faixa de domínio e bordo da rodovia lindeira, referenciado a marco topográfico;</w:t>
            </w:r>
          </w:p>
          <w:p w14:paraId="0B387BBB" w14:textId="77777777" w:rsidR="0023179C" w:rsidRDefault="00CD3728" w:rsidP="00143ECF">
            <w:pPr>
              <w:spacing w:after="0" w:line="240" w:lineRule="auto"/>
              <w:ind w:left="426" w:hanging="284"/>
              <w:jc w:val="both"/>
            </w:pPr>
            <w:r>
              <w:rPr>
                <w:rFonts w:ascii="Times New Roman" w:eastAsia="Times New Roman" w:hAnsi="Times New Roman"/>
              </w:rPr>
              <w:t xml:space="preserve">b) sondagem do solo à percussão – SPT (ABNT NBR 6484), em quantidade e locação definidas conforme ABNT NBR 8036, com </w:t>
            </w:r>
            <w:r>
              <w:rPr>
                <w:rFonts w:ascii="Times New Roman" w:eastAsia="Times New Roman" w:hAnsi="Times New Roman"/>
                <w:b/>
                <w:bCs/>
              </w:rPr>
              <w:t>no mínimo 03 (três) furos</w:t>
            </w:r>
            <w:r>
              <w:rPr>
                <w:rFonts w:ascii="Times New Roman" w:eastAsia="Times New Roman" w:hAnsi="Times New Roman"/>
              </w:rPr>
              <w:t xml:space="preserve"> na projeção da edificação, laudo técnico, perfis individuais e indicação do nível do lençol freático, considerada a existência de subsolo;</w:t>
            </w:r>
          </w:p>
          <w:p w14:paraId="10EF7AB2" w14:textId="77777777" w:rsidR="0023179C" w:rsidRDefault="00CD3728" w:rsidP="00143ECF">
            <w:pPr>
              <w:spacing w:after="0" w:line="240" w:lineRule="auto"/>
              <w:ind w:left="426" w:hanging="284"/>
              <w:jc w:val="both"/>
            </w:pPr>
            <w:r>
              <w:rPr>
                <w:rFonts w:ascii="Times New Roman" w:eastAsia="Times New Roman" w:hAnsi="Times New Roman"/>
              </w:rPr>
              <w:lastRenderedPageBreak/>
              <w:t>c) ensaio de infiltração/percolação do solo, caso o esgotamento sanitário demande sistema de tratamento individual (ABNT NBR 13969);</w:t>
            </w:r>
          </w:p>
          <w:p w14:paraId="4E42B643" w14:textId="77777777" w:rsidR="0023179C" w:rsidRDefault="00CD3728" w:rsidP="00143ECF">
            <w:pPr>
              <w:spacing w:after="0" w:line="240" w:lineRule="auto"/>
              <w:ind w:left="426" w:hanging="284"/>
              <w:jc w:val="both"/>
            </w:pPr>
            <w:r>
              <w:rPr>
                <w:rFonts w:ascii="Times New Roman" w:eastAsia="Times New Roman" w:hAnsi="Times New Roman"/>
              </w:rPr>
              <w:t>d) consultas de viabilidade às concessionárias de energia elétrica e de água e esgoto, e levantamento da legislação urbanística e ambiental incidente sobre o terreno;</w:t>
            </w:r>
          </w:p>
          <w:p w14:paraId="7056F9A2" w14:textId="77777777" w:rsidR="0023179C" w:rsidRDefault="00CD3728" w:rsidP="00143ECF">
            <w:pPr>
              <w:spacing w:after="0" w:line="240" w:lineRule="auto"/>
              <w:ind w:left="426" w:hanging="284"/>
              <w:jc w:val="both"/>
            </w:pPr>
            <w:r>
              <w:rPr>
                <w:rFonts w:ascii="Times New Roman" w:eastAsia="Times New Roman" w:hAnsi="Times New Roman"/>
              </w:rPr>
              <w:t>e) consolidação do programa de necessidades junto à Secretaria demandante, à EPAGRI, à CIDASC e à Defesa Civil, com registro em ata.</w:t>
            </w:r>
          </w:p>
          <w:p w14:paraId="53B3BF20" w14:textId="77777777" w:rsidR="0023179C" w:rsidRDefault="00CD3728" w:rsidP="00143ECF">
            <w:pPr>
              <w:keepNext/>
              <w:spacing w:after="0" w:line="240" w:lineRule="auto"/>
              <w:jc w:val="both"/>
            </w:pPr>
            <w:r>
              <w:rPr>
                <w:rFonts w:ascii="Times New Roman" w:eastAsia="Times New Roman" w:hAnsi="Times New Roman"/>
                <w:b/>
                <w:bCs/>
              </w:rPr>
              <w:t>B) Projeto arquitetônico</w:t>
            </w:r>
          </w:p>
          <w:p w14:paraId="31B81175" w14:textId="77777777" w:rsidR="0023179C" w:rsidRDefault="00CD3728" w:rsidP="00143ECF">
            <w:pPr>
              <w:spacing w:after="0" w:line="240" w:lineRule="auto"/>
              <w:ind w:left="426" w:hanging="284"/>
              <w:jc w:val="both"/>
            </w:pPr>
            <w:r>
              <w:rPr>
                <w:rFonts w:ascii="Times New Roman" w:eastAsia="Times New Roman" w:hAnsi="Times New Roman"/>
              </w:rPr>
              <w:t>a) estudo preliminar, com implantação geral da edificação, do estacionamento e do Viveiro Municipal, submetido à validação da Administração antes do prosseguimento dos trabalhos;</w:t>
            </w:r>
          </w:p>
          <w:p w14:paraId="7D827F61" w14:textId="77777777" w:rsidR="0023179C" w:rsidRDefault="00CD3728" w:rsidP="00143ECF">
            <w:pPr>
              <w:spacing w:after="0" w:line="240" w:lineRule="auto"/>
              <w:ind w:left="426" w:hanging="284"/>
              <w:jc w:val="both"/>
            </w:pPr>
            <w:r>
              <w:rPr>
                <w:rFonts w:ascii="Times New Roman" w:eastAsia="Times New Roman" w:hAnsi="Times New Roman"/>
              </w:rPr>
              <w:t>b) anteprojeto e projeto legal, apto à aprovação junto ao Município (Código de Obras e Plano Diretor de Palmitos/SC);</w:t>
            </w:r>
          </w:p>
          <w:p w14:paraId="125DB031" w14:textId="77777777" w:rsidR="0023179C" w:rsidRDefault="00CD3728" w:rsidP="00143ECF">
            <w:pPr>
              <w:spacing w:after="0" w:line="240" w:lineRule="auto"/>
              <w:ind w:left="426" w:hanging="284"/>
              <w:jc w:val="both"/>
            </w:pPr>
            <w:r>
              <w:rPr>
                <w:rFonts w:ascii="Times New Roman" w:eastAsia="Times New Roman" w:hAnsi="Times New Roman"/>
              </w:rPr>
              <w:t>c) projeto executivo arquitetônico: plantas baixas, cortes, fachadas, planta de cobertura, planta de layout, detalhamento de áreas molhadas, cozinha e lavanderia, paginação de pisos (inclusive juntas do concreto polido), forros, bancadas, escadas e rampas, quadro de esquadrias e quadro de acabamentos;</w:t>
            </w:r>
          </w:p>
          <w:p w14:paraId="2F3CF655" w14:textId="77777777" w:rsidR="0023179C" w:rsidRDefault="00CD3728" w:rsidP="00143ECF">
            <w:pPr>
              <w:spacing w:after="0" w:line="240" w:lineRule="auto"/>
              <w:ind w:left="426" w:hanging="284"/>
              <w:jc w:val="both"/>
            </w:pPr>
            <w:r>
              <w:rPr>
                <w:rFonts w:ascii="Times New Roman" w:eastAsia="Times New Roman" w:hAnsi="Times New Roman"/>
              </w:rPr>
              <w:t>d) perspectivas eletrônicas ilustrativas (no mínimo 04 imagens), aptas à apresentação do empreendimento e à instrução de pedidos de captação de recursos.</w:t>
            </w:r>
          </w:p>
          <w:p w14:paraId="50C2ED00" w14:textId="77777777" w:rsidR="0023179C" w:rsidRDefault="00CD3728" w:rsidP="00143ECF">
            <w:pPr>
              <w:keepNext/>
              <w:spacing w:after="0" w:line="240" w:lineRule="auto"/>
              <w:jc w:val="both"/>
            </w:pPr>
            <w:r>
              <w:rPr>
                <w:rFonts w:ascii="Times New Roman" w:eastAsia="Times New Roman" w:hAnsi="Times New Roman"/>
                <w:b/>
                <w:bCs/>
              </w:rPr>
              <w:t>C) Implantação, terraplenagem, estacionamento e acesso rodoviário</w:t>
            </w:r>
          </w:p>
          <w:p w14:paraId="610AF5D6" w14:textId="77777777" w:rsidR="0023179C" w:rsidRDefault="00CD3728" w:rsidP="00143ECF">
            <w:pPr>
              <w:spacing w:after="0" w:line="240" w:lineRule="auto"/>
              <w:ind w:left="426" w:hanging="284"/>
              <w:jc w:val="both"/>
            </w:pPr>
            <w:r>
              <w:rPr>
                <w:rFonts w:ascii="Times New Roman" w:eastAsia="Times New Roman" w:hAnsi="Times New Roman"/>
              </w:rPr>
              <w:t>a) projeto de implantação e urbanização, com calçadas e rotas acessíveis, paisagismo básico, fechamentos e iluminação externa;</w:t>
            </w:r>
          </w:p>
          <w:p w14:paraId="7C85EE9A" w14:textId="77777777" w:rsidR="0023179C" w:rsidRDefault="00CD3728" w:rsidP="00143ECF">
            <w:pPr>
              <w:spacing w:after="0" w:line="240" w:lineRule="auto"/>
              <w:ind w:left="426" w:hanging="284"/>
              <w:jc w:val="both"/>
            </w:pPr>
            <w:r>
              <w:rPr>
                <w:rFonts w:ascii="Times New Roman" w:eastAsia="Times New Roman" w:hAnsi="Times New Roman"/>
              </w:rPr>
              <w:t>b) projeto de terraplenagem, com cortes, aterros, volumes e seções, compatível com a execução do subsolo;</w:t>
            </w:r>
          </w:p>
          <w:p w14:paraId="391F7E4F" w14:textId="77777777" w:rsidR="0023179C" w:rsidRDefault="00CD3728" w:rsidP="00143ECF">
            <w:pPr>
              <w:spacing w:after="0" w:line="240" w:lineRule="auto"/>
              <w:ind w:left="426" w:hanging="284"/>
              <w:jc w:val="both"/>
            </w:pPr>
            <w:r>
              <w:rPr>
                <w:rFonts w:ascii="Times New Roman" w:eastAsia="Times New Roman" w:hAnsi="Times New Roman"/>
              </w:rPr>
              <w:t>c) projeto de estacionamento para 10 (dez) veículos oficiais e 10 (dez) veículos particulares, com reserva de vagas para pessoas com deficiência (art. 47 da Lei nº 13.146/2015) e para idosos (art. 41 da Lei nº 10.741/2003), pavimentação, drenagem e sinalização horizontal e vertical;</w:t>
            </w:r>
          </w:p>
          <w:p w14:paraId="083D79FD" w14:textId="77777777" w:rsidR="0023179C" w:rsidRDefault="00CD3728" w:rsidP="00143ECF">
            <w:pPr>
              <w:spacing w:after="0" w:line="240" w:lineRule="auto"/>
              <w:ind w:left="426" w:hanging="284"/>
              <w:jc w:val="both"/>
            </w:pPr>
            <w:r>
              <w:rPr>
                <w:rFonts w:ascii="Times New Roman" w:eastAsia="Times New Roman" w:hAnsi="Times New Roman"/>
              </w:rPr>
              <w:t>d) estudo e projeto geométrico do acesso de entrada e saída de veículos da rodovia, com sinalização, observadas as normas do órgão com circunscrição sobre a via, incluindo a documentação técnica necessária ao pedido de autorização de acesso.</w:t>
            </w:r>
          </w:p>
          <w:p w14:paraId="397D97DB" w14:textId="77777777" w:rsidR="0023179C" w:rsidRDefault="00CD3728" w:rsidP="00143ECF">
            <w:pPr>
              <w:keepNext/>
              <w:spacing w:after="0" w:line="240" w:lineRule="auto"/>
              <w:jc w:val="both"/>
            </w:pPr>
            <w:r>
              <w:rPr>
                <w:rFonts w:ascii="Times New Roman" w:eastAsia="Times New Roman" w:hAnsi="Times New Roman"/>
                <w:b/>
                <w:bCs/>
              </w:rPr>
              <w:t>D) Estrutura, fundações, contenções e impermeabilização</w:t>
            </w:r>
          </w:p>
          <w:p w14:paraId="22378833" w14:textId="77777777" w:rsidR="0023179C" w:rsidRDefault="00CD3728" w:rsidP="00143ECF">
            <w:pPr>
              <w:spacing w:after="0" w:line="240" w:lineRule="auto"/>
              <w:ind w:left="426" w:hanging="284"/>
              <w:jc w:val="both"/>
            </w:pPr>
            <w:r>
              <w:rPr>
                <w:rFonts w:ascii="Times New Roman" w:eastAsia="Times New Roman" w:hAnsi="Times New Roman"/>
              </w:rPr>
              <w:t>a) projeto estrutural completo (ABNT NBR 6118 e demais aplicáveis), com memorial de cálculo, plantas de formas e armaduras e quantitativos, admitida a adoção de sistema pré-moldado ou metálico mediante justificativa técnica e econômica;</w:t>
            </w:r>
          </w:p>
          <w:p w14:paraId="4770C59F" w14:textId="77777777" w:rsidR="0023179C" w:rsidRDefault="00CD3728" w:rsidP="00143ECF">
            <w:pPr>
              <w:spacing w:after="0" w:line="240" w:lineRule="auto"/>
              <w:ind w:left="426" w:hanging="284"/>
              <w:jc w:val="both"/>
            </w:pPr>
            <w:r>
              <w:rPr>
                <w:rFonts w:ascii="Times New Roman" w:eastAsia="Times New Roman" w:hAnsi="Times New Roman"/>
              </w:rPr>
              <w:t>b) projeto de fundações (ABNT NBR 6122), elaborado com base no laudo de sondagem;</w:t>
            </w:r>
          </w:p>
          <w:p w14:paraId="4C5A4E56" w14:textId="77777777" w:rsidR="0023179C" w:rsidRDefault="00CD3728" w:rsidP="00143ECF">
            <w:pPr>
              <w:spacing w:after="0" w:line="240" w:lineRule="auto"/>
              <w:ind w:left="426" w:hanging="284"/>
              <w:jc w:val="both"/>
            </w:pPr>
            <w:r>
              <w:rPr>
                <w:rFonts w:ascii="Times New Roman" w:eastAsia="Times New Roman" w:hAnsi="Times New Roman"/>
              </w:rPr>
              <w:t>c) projeto de contenções do subsolo (muros de arrimo ou cortinas), com drenagem;</w:t>
            </w:r>
          </w:p>
          <w:p w14:paraId="3F7C1076" w14:textId="77777777" w:rsidR="0023179C" w:rsidRDefault="00CD3728" w:rsidP="00143ECF">
            <w:pPr>
              <w:spacing w:after="0" w:line="240" w:lineRule="auto"/>
              <w:ind w:left="426" w:hanging="284"/>
              <w:jc w:val="both"/>
            </w:pPr>
            <w:r>
              <w:rPr>
                <w:rFonts w:ascii="Times New Roman" w:eastAsia="Times New Roman" w:hAnsi="Times New Roman"/>
              </w:rPr>
              <w:t>d) projeto de impermeabilização (ABNT NBR 9575), em especial do subsolo, lajes e áreas molhadas;</w:t>
            </w:r>
          </w:p>
          <w:p w14:paraId="159042D4" w14:textId="77777777" w:rsidR="0023179C" w:rsidRDefault="00CD3728" w:rsidP="00143ECF">
            <w:pPr>
              <w:spacing w:after="0" w:line="240" w:lineRule="auto"/>
              <w:ind w:left="426" w:hanging="284"/>
              <w:jc w:val="both"/>
            </w:pPr>
            <w:r>
              <w:rPr>
                <w:rFonts w:ascii="Times New Roman" w:eastAsia="Times New Roman" w:hAnsi="Times New Roman"/>
              </w:rPr>
              <w:t>e) projeto das estruturas da estufa, da área de sombrite e da base do reservatório do Viveiro Municipal.</w:t>
            </w:r>
          </w:p>
          <w:p w14:paraId="5A608F30" w14:textId="77777777" w:rsidR="0023179C" w:rsidRDefault="00CD3728" w:rsidP="00143ECF">
            <w:pPr>
              <w:keepNext/>
              <w:spacing w:after="0" w:line="240" w:lineRule="auto"/>
              <w:jc w:val="both"/>
            </w:pPr>
            <w:r>
              <w:rPr>
                <w:rFonts w:ascii="Times New Roman" w:eastAsia="Times New Roman" w:hAnsi="Times New Roman"/>
                <w:b/>
                <w:bCs/>
              </w:rPr>
              <w:t>E) Instalações hidrossanitárias e pluviais</w:t>
            </w:r>
          </w:p>
          <w:p w14:paraId="45620BEA" w14:textId="77777777" w:rsidR="0023179C" w:rsidRDefault="00CD3728" w:rsidP="00143ECF">
            <w:pPr>
              <w:spacing w:after="0" w:line="240" w:lineRule="auto"/>
              <w:ind w:left="426" w:hanging="284"/>
              <w:jc w:val="both"/>
            </w:pPr>
            <w:r>
              <w:rPr>
                <w:rFonts w:ascii="Times New Roman" w:eastAsia="Times New Roman" w:hAnsi="Times New Roman"/>
              </w:rPr>
              <w:t>a) instalações de água fria e, onde necessário, água quente (ABNT NBR 5626), com dimensionamento de reservatórios;</w:t>
            </w:r>
          </w:p>
          <w:p w14:paraId="5D6FE3ED" w14:textId="77777777" w:rsidR="0023179C" w:rsidRDefault="00CD3728" w:rsidP="00143ECF">
            <w:pPr>
              <w:spacing w:after="0" w:line="240" w:lineRule="auto"/>
              <w:ind w:left="426" w:hanging="284"/>
              <w:jc w:val="both"/>
            </w:pPr>
            <w:r>
              <w:rPr>
                <w:rFonts w:ascii="Times New Roman" w:eastAsia="Times New Roman" w:hAnsi="Times New Roman"/>
              </w:rPr>
              <w:t>b) instalações de esgoto sanitário (ABNT NBR 8160) e, inexistindo rede pública, sistema de tratamento individual (ABNT NBR 7229 e NBR 13969);</w:t>
            </w:r>
          </w:p>
          <w:p w14:paraId="2887E5B9" w14:textId="77777777" w:rsidR="0023179C" w:rsidRDefault="00CD3728" w:rsidP="00143ECF">
            <w:pPr>
              <w:spacing w:after="0" w:line="240" w:lineRule="auto"/>
              <w:ind w:left="426" w:hanging="284"/>
              <w:jc w:val="both"/>
            </w:pPr>
            <w:r>
              <w:rPr>
                <w:rFonts w:ascii="Times New Roman" w:eastAsia="Times New Roman" w:hAnsi="Times New Roman"/>
              </w:rPr>
              <w:t>c) instalações de águas pluviais (ABNT NBR 10844), com calhas, condutores, caixas e ligação ao sistema de drenagem;</w:t>
            </w:r>
          </w:p>
          <w:p w14:paraId="0084AFE5" w14:textId="77777777" w:rsidR="0023179C" w:rsidRDefault="00CD3728" w:rsidP="00143ECF">
            <w:pPr>
              <w:spacing w:after="0" w:line="240" w:lineRule="auto"/>
              <w:ind w:left="426" w:hanging="284"/>
              <w:jc w:val="both"/>
            </w:pPr>
            <w:r>
              <w:rPr>
                <w:rFonts w:ascii="Times New Roman" w:eastAsia="Times New Roman" w:hAnsi="Times New Roman"/>
              </w:rPr>
              <w:t>d) estudo de viabilidade e, sendo viável, projeto de aproveitamento de água de chuva (ABNT NBR 15527) para irrigação do Viveiro e usos não potáveis;</w:t>
            </w:r>
          </w:p>
          <w:p w14:paraId="7D5C94D1" w14:textId="77777777" w:rsidR="0023179C" w:rsidRDefault="00CD3728" w:rsidP="00143ECF">
            <w:pPr>
              <w:spacing w:after="0" w:line="240" w:lineRule="auto"/>
              <w:ind w:left="426" w:hanging="284"/>
              <w:jc w:val="both"/>
            </w:pPr>
            <w:r>
              <w:rPr>
                <w:rFonts w:ascii="Times New Roman" w:eastAsia="Times New Roman" w:hAnsi="Times New Roman"/>
              </w:rPr>
              <w:t>e) sistema de irrigação do Viveiro Municipal e reservatório de 20.000 litros, com conjunto motobomba, se necessário.</w:t>
            </w:r>
          </w:p>
          <w:p w14:paraId="63C611B5" w14:textId="77777777" w:rsidR="0023179C" w:rsidRDefault="00CD3728" w:rsidP="00143ECF">
            <w:pPr>
              <w:keepNext/>
              <w:spacing w:after="0" w:line="240" w:lineRule="auto"/>
              <w:jc w:val="both"/>
            </w:pPr>
            <w:r>
              <w:rPr>
                <w:rFonts w:ascii="Times New Roman" w:eastAsia="Times New Roman" w:hAnsi="Times New Roman"/>
                <w:b/>
                <w:bCs/>
              </w:rPr>
              <w:t>F) Instalações elétricas, SPDA e cabeamento estruturado</w:t>
            </w:r>
          </w:p>
          <w:p w14:paraId="40A234D4" w14:textId="77777777" w:rsidR="0023179C" w:rsidRDefault="00CD3728" w:rsidP="00143ECF">
            <w:pPr>
              <w:spacing w:after="0" w:line="240" w:lineRule="auto"/>
              <w:ind w:left="426" w:hanging="284"/>
              <w:jc w:val="both"/>
            </w:pPr>
            <w:r>
              <w:rPr>
                <w:rFonts w:ascii="Times New Roman" w:eastAsia="Times New Roman" w:hAnsi="Times New Roman"/>
              </w:rPr>
              <w:t>a) projeto elétrico de baixa tensão (ABNT NBR 5410), com entrada de energia conforme normas da concessionária, cálculo de demanda, quadros, diagramas unifilares, iluminação interna e externa (inclusive do estacionamento) e tomadas;</w:t>
            </w:r>
          </w:p>
          <w:p w14:paraId="29D18E52" w14:textId="77777777" w:rsidR="0023179C" w:rsidRDefault="00CD3728" w:rsidP="00143ECF">
            <w:pPr>
              <w:spacing w:after="0" w:line="240" w:lineRule="auto"/>
              <w:ind w:left="426" w:hanging="284"/>
              <w:jc w:val="both"/>
            </w:pPr>
            <w:r>
              <w:rPr>
                <w:rFonts w:ascii="Times New Roman" w:eastAsia="Times New Roman" w:hAnsi="Times New Roman"/>
              </w:rPr>
              <w:t>b) infraestrutura para climatização (circuitos, drenos e posicionamento de condensadoras) e alimentação dos equipamentos do Viveiro;</w:t>
            </w:r>
          </w:p>
          <w:p w14:paraId="674DA971" w14:textId="77777777" w:rsidR="0023179C" w:rsidRDefault="00CD3728" w:rsidP="00143ECF">
            <w:pPr>
              <w:spacing w:after="0" w:line="240" w:lineRule="auto"/>
              <w:ind w:left="426" w:hanging="284"/>
              <w:jc w:val="both"/>
            </w:pPr>
            <w:r>
              <w:rPr>
                <w:rFonts w:ascii="Times New Roman" w:eastAsia="Times New Roman" w:hAnsi="Times New Roman"/>
              </w:rPr>
              <w:t>c) previsão de alimentação elétrica de emergência (ponto para grupo gerador e/ou nobreak) para a Sala da Defesa Civil e para o rack de dados;</w:t>
            </w:r>
          </w:p>
          <w:p w14:paraId="296A4319" w14:textId="77777777" w:rsidR="0023179C" w:rsidRDefault="00CD3728" w:rsidP="00143ECF">
            <w:pPr>
              <w:spacing w:after="0" w:line="240" w:lineRule="auto"/>
              <w:ind w:left="426" w:hanging="284"/>
              <w:jc w:val="both"/>
            </w:pPr>
            <w:r>
              <w:rPr>
                <w:rFonts w:ascii="Times New Roman" w:eastAsia="Times New Roman" w:hAnsi="Times New Roman"/>
              </w:rPr>
              <w:t>d) infraestrutura para futura instalação de sistema de geração fotovoltaica, quando tecnicamente viável;</w:t>
            </w:r>
          </w:p>
          <w:p w14:paraId="6C9CD0E6" w14:textId="77777777" w:rsidR="0023179C" w:rsidRDefault="00CD3728" w:rsidP="00143ECF">
            <w:pPr>
              <w:spacing w:after="0" w:line="240" w:lineRule="auto"/>
              <w:ind w:left="426" w:hanging="284"/>
              <w:jc w:val="both"/>
            </w:pPr>
            <w:r>
              <w:rPr>
                <w:rFonts w:ascii="Times New Roman" w:eastAsia="Times New Roman" w:hAnsi="Times New Roman"/>
              </w:rPr>
              <w:t>e) Sistema de Proteção contra Descargas Atmosféricas – SPDA e aterramento (ABNT NBR 5419), com análise de gerenciamento de risco;</w:t>
            </w:r>
          </w:p>
          <w:p w14:paraId="5706F7F2" w14:textId="77777777" w:rsidR="0023179C" w:rsidRDefault="00CD3728" w:rsidP="00143ECF">
            <w:pPr>
              <w:spacing w:after="0" w:line="240" w:lineRule="auto"/>
              <w:ind w:left="426" w:hanging="284"/>
              <w:jc w:val="both"/>
            </w:pPr>
            <w:r>
              <w:rPr>
                <w:rFonts w:ascii="Times New Roman" w:eastAsia="Times New Roman" w:hAnsi="Times New Roman"/>
              </w:rPr>
              <w:t>f) cabeamento estruturado (lógica, telefonia e rede sem fio – ABNT NBR 14565) e infraestrutura seca para CFTV e alarme.</w:t>
            </w:r>
          </w:p>
          <w:p w14:paraId="4162EA70" w14:textId="77777777" w:rsidR="0023179C" w:rsidRDefault="00CD3728" w:rsidP="00143ECF">
            <w:pPr>
              <w:keepNext/>
              <w:spacing w:after="0" w:line="240" w:lineRule="auto"/>
              <w:jc w:val="both"/>
            </w:pPr>
            <w:r>
              <w:rPr>
                <w:rFonts w:ascii="Times New Roman" w:eastAsia="Times New Roman" w:hAnsi="Times New Roman"/>
                <w:b/>
                <w:bCs/>
              </w:rPr>
              <w:lastRenderedPageBreak/>
              <w:t>G) Prevenção contra incêndio e acessibilidade</w:t>
            </w:r>
          </w:p>
          <w:p w14:paraId="0AC89745" w14:textId="77777777" w:rsidR="0023179C" w:rsidRDefault="00CD3728" w:rsidP="00143ECF">
            <w:pPr>
              <w:spacing w:after="0" w:line="240" w:lineRule="auto"/>
              <w:ind w:left="426" w:hanging="284"/>
              <w:jc w:val="both"/>
            </w:pPr>
            <w:r>
              <w:rPr>
                <w:rFonts w:ascii="Times New Roman" w:eastAsia="Times New Roman" w:hAnsi="Times New Roman"/>
              </w:rPr>
              <w:t>a) Projeto Preventivo contra Incêndio e Pânico (PPCI), conforme as Instruções Normativas do Corpo de Bombeiros Militar de Santa Catarina (CBMSC), incluindo protocolo, acompanhamento e atendimento às exigências até a aprovação;</w:t>
            </w:r>
          </w:p>
          <w:p w14:paraId="4C5FD79B" w14:textId="77777777" w:rsidR="0023179C" w:rsidRDefault="00CD3728" w:rsidP="00143ECF">
            <w:pPr>
              <w:spacing w:after="0" w:line="240" w:lineRule="auto"/>
              <w:ind w:left="426" w:hanging="284"/>
              <w:jc w:val="both"/>
            </w:pPr>
            <w:r>
              <w:rPr>
                <w:rFonts w:ascii="Times New Roman" w:eastAsia="Times New Roman" w:hAnsi="Times New Roman"/>
              </w:rPr>
              <w:t>b) projeto e memorial de acessibilidade (ABNT NBR 9050 e NBR 16537), abrangendo rotas acessíveis externas e internas, sanitários, sinalização tátil e visual, vagas reservadas e solução de circulação vertical entre o subsolo e o pavimento principal, quando exigível.</w:t>
            </w:r>
          </w:p>
          <w:p w14:paraId="13DF2F3A" w14:textId="77777777" w:rsidR="0023179C" w:rsidRDefault="00CD3728" w:rsidP="00143ECF">
            <w:pPr>
              <w:keepNext/>
              <w:spacing w:after="0" w:line="240" w:lineRule="auto"/>
              <w:jc w:val="both"/>
            </w:pPr>
            <w:r>
              <w:rPr>
                <w:rFonts w:ascii="Times New Roman" w:eastAsia="Times New Roman" w:hAnsi="Times New Roman"/>
                <w:b/>
                <w:bCs/>
              </w:rPr>
              <w:t>H) Orçamento, memoriais e documentos para licitação da obra</w:t>
            </w:r>
          </w:p>
          <w:p w14:paraId="74237658" w14:textId="77777777" w:rsidR="0023179C" w:rsidRDefault="00CD3728" w:rsidP="00143ECF">
            <w:pPr>
              <w:spacing w:after="0" w:line="240" w:lineRule="auto"/>
              <w:ind w:left="426" w:hanging="284"/>
              <w:jc w:val="both"/>
            </w:pPr>
            <w:r>
              <w:rPr>
                <w:rFonts w:ascii="Times New Roman" w:eastAsia="Times New Roman" w:hAnsi="Times New Roman"/>
              </w:rPr>
              <w:t>a) memorial descritivo e especificações técnicas (caderno de encargos) de todas as disciplinas;</w:t>
            </w:r>
          </w:p>
          <w:p w14:paraId="0F80099B" w14:textId="77777777" w:rsidR="0023179C" w:rsidRDefault="00CD3728" w:rsidP="00143ECF">
            <w:pPr>
              <w:spacing w:after="0" w:line="240" w:lineRule="auto"/>
              <w:ind w:left="426" w:hanging="284"/>
              <w:jc w:val="both"/>
            </w:pPr>
            <w:r>
              <w:rPr>
                <w:rFonts w:ascii="Times New Roman" w:eastAsia="Times New Roman" w:hAnsi="Times New Roman"/>
              </w:rPr>
              <w:t>b) memória de cálculo dos quantitativos, por disciplina;</w:t>
            </w:r>
          </w:p>
          <w:p w14:paraId="3DFD27B2" w14:textId="77777777" w:rsidR="0023179C" w:rsidRDefault="00CD3728" w:rsidP="00143ECF">
            <w:pPr>
              <w:spacing w:after="0" w:line="240" w:lineRule="auto"/>
              <w:ind w:left="426" w:hanging="284"/>
              <w:jc w:val="both"/>
            </w:pPr>
            <w:r>
              <w:rPr>
                <w:rFonts w:ascii="Times New Roman" w:eastAsia="Times New Roman" w:hAnsi="Times New Roman"/>
              </w:rPr>
              <w:t>c) planilha orçamentária sintética e analítica, com e sem BDI, elaborada preferencialmente com base no SINAPI (art. 23, § 2º, da Lei nº 14.133/2021), com indicação da data-base e do regime de desoneração adotado;</w:t>
            </w:r>
          </w:p>
          <w:p w14:paraId="33E8ADD5" w14:textId="77777777" w:rsidR="0023179C" w:rsidRDefault="00CD3728" w:rsidP="00143ECF">
            <w:pPr>
              <w:spacing w:after="0" w:line="240" w:lineRule="auto"/>
              <w:ind w:left="426" w:hanging="284"/>
              <w:jc w:val="both"/>
            </w:pPr>
            <w:r>
              <w:rPr>
                <w:rFonts w:ascii="Times New Roman" w:eastAsia="Times New Roman" w:hAnsi="Times New Roman"/>
              </w:rPr>
              <w:t>d) composições de custos unitários e, para itens sem referência oficial, cotações de mercado (mínimo de 03) com composição própria justificada;</w:t>
            </w:r>
          </w:p>
          <w:p w14:paraId="006199E0" w14:textId="77777777" w:rsidR="0023179C" w:rsidRDefault="00CD3728" w:rsidP="00143ECF">
            <w:pPr>
              <w:spacing w:after="0" w:line="240" w:lineRule="auto"/>
              <w:ind w:left="426" w:hanging="284"/>
              <w:jc w:val="both"/>
            </w:pPr>
            <w:r>
              <w:rPr>
                <w:rFonts w:ascii="Times New Roman" w:eastAsia="Times New Roman" w:hAnsi="Times New Roman"/>
              </w:rPr>
              <w:t>e) composição detalhada do BDI e dos encargos sociais, observados os parâmetros do Tribunal de Contas da União;</w:t>
            </w:r>
          </w:p>
          <w:p w14:paraId="3B58E384" w14:textId="77777777" w:rsidR="0023179C" w:rsidRDefault="00CD3728" w:rsidP="00143ECF">
            <w:pPr>
              <w:spacing w:after="0" w:line="240" w:lineRule="auto"/>
              <w:ind w:left="426" w:hanging="284"/>
              <w:jc w:val="both"/>
            </w:pPr>
            <w:r>
              <w:rPr>
                <w:rFonts w:ascii="Times New Roman" w:eastAsia="Times New Roman" w:hAnsi="Times New Roman"/>
              </w:rPr>
              <w:t>f) curva ABC de serviços e cronograma físico-financeiro, com indicação de possível execução em etapas;</w:t>
            </w:r>
          </w:p>
          <w:p w14:paraId="5C1D212F" w14:textId="77777777" w:rsidR="0023179C" w:rsidRDefault="00CD3728" w:rsidP="00143ECF">
            <w:pPr>
              <w:spacing w:after="0" w:line="240" w:lineRule="auto"/>
              <w:ind w:left="426" w:hanging="284"/>
              <w:jc w:val="both"/>
            </w:pPr>
            <w:r>
              <w:rPr>
                <w:rFonts w:ascii="Times New Roman" w:eastAsia="Times New Roman" w:hAnsi="Times New Roman"/>
              </w:rPr>
              <w:t>g) relatório de compatibilização entre as disciplinas;</w:t>
            </w:r>
          </w:p>
          <w:p w14:paraId="648EF551" w14:textId="77777777" w:rsidR="0023179C" w:rsidRDefault="00CD3728" w:rsidP="00143ECF">
            <w:pPr>
              <w:spacing w:after="0" w:line="240" w:lineRule="auto"/>
              <w:ind w:left="426" w:hanging="284"/>
              <w:jc w:val="both"/>
            </w:pPr>
            <w:r>
              <w:rPr>
                <w:rFonts w:ascii="Times New Roman" w:eastAsia="Times New Roman" w:hAnsi="Times New Roman"/>
              </w:rPr>
              <w:t>h) Anotações de Responsabilidade Técnica (ART) e/ou Registros de Responsabilidade Técnica (RRT) de todas as disciplinas.</w:t>
            </w:r>
          </w:p>
          <w:p w14:paraId="77A0D147" w14:textId="510566F5" w:rsidR="0023179C" w:rsidRDefault="00CD3728" w:rsidP="00143ECF">
            <w:pPr>
              <w:spacing w:after="0" w:line="240" w:lineRule="auto"/>
              <w:jc w:val="both"/>
            </w:pPr>
            <w:r>
              <w:rPr>
                <w:rFonts w:ascii="Times New Roman" w:eastAsia="Times New Roman" w:hAnsi="Times New Roman"/>
              </w:rPr>
              <w:t>Os projetos serão desenvolvidos em três etapas sucessivas (levantamentos e estudo preliminar; projeto legal/básico; projeto executivo e orçamento), com validação da Administração ao final de cada uma, o que permite o controle das soluções adotadas e o pagamento proporcional aos produtos efetivamente recebidos.</w:t>
            </w:r>
          </w:p>
        </w:tc>
      </w:tr>
      <w:tr w:rsidR="0023179C" w14:paraId="110D3879" w14:textId="77777777">
        <w:tc>
          <w:tcPr>
            <w:tcW w:w="822" w:type="dxa"/>
            <w:tcBorders>
              <w:top w:val="single" w:sz="4" w:space="0" w:color="000000"/>
              <w:left w:val="single" w:sz="4" w:space="0" w:color="000000"/>
              <w:bottom w:val="single" w:sz="4" w:space="0" w:color="000000"/>
              <w:right w:val="single" w:sz="4" w:space="0" w:color="000000"/>
            </w:tcBorders>
          </w:tcPr>
          <w:p w14:paraId="0CD9C963" w14:textId="77777777" w:rsidR="0023179C" w:rsidRDefault="00CD3728" w:rsidP="00143ECF">
            <w:pPr>
              <w:spacing w:after="0" w:line="240" w:lineRule="auto"/>
              <w:jc w:val="center"/>
            </w:pPr>
            <w:r>
              <w:rPr>
                <w:rFonts w:ascii="Times New Roman" w:eastAsia="Times New Roman" w:hAnsi="Times New Roman"/>
                <w:b/>
                <w:bCs/>
              </w:rPr>
              <w:lastRenderedPageBreak/>
              <w:t>8.</w:t>
            </w:r>
          </w:p>
        </w:tc>
        <w:tc>
          <w:tcPr>
            <w:tcW w:w="9640" w:type="dxa"/>
            <w:tcBorders>
              <w:top w:val="single" w:sz="4" w:space="0" w:color="000000"/>
              <w:left w:val="single" w:sz="4" w:space="0" w:color="000000"/>
              <w:bottom w:val="single" w:sz="4" w:space="0" w:color="000000"/>
              <w:right w:val="single" w:sz="4" w:space="0" w:color="000000"/>
            </w:tcBorders>
          </w:tcPr>
          <w:p w14:paraId="1A0F835B" w14:textId="77777777" w:rsidR="0023179C" w:rsidRPr="00931919" w:rsidRDefault="00CD3728" w:rsidP="00143ECF">
            <w:pPr>
              <w:spacing w:after="0" w:line="240" w:lineRule="auto"/>
              <w:jc w:val="both"/>
              <w:rPr>
                <w:rFonts w:ascii="Times New Roman" w:hAnsi="Times New Roman"/>
              </w:rPr>
            </w:pPr>
            <w:r w:rsidRPr="00931919">
              <w:rPr>
                <w:rFonts w:ascii="Times New Roman" w:eastAsia="Times New Roman" w:hAnsi="Times New Roman"/>
                <w:b/>
                <w:bCs/>
              </w:rPr>
              <w:t>Justificativas para o parcelamento ou não da contratação.</w:t>
            </w:r>
          </w:p>
          <w:p w14:paraId="602EE9DC" w14:textId="77777777" w:rsidR="0023179C" w:rsidRPr="00931919" w:rsidRDefault="00CD3728" w:rsidP="00143ECF">
            <w:pPr>
              <w:spacing w:after="0" w:line="240" w:lineRule="auto"/>
              <w:jc w:val="both"/>
              <w:rPr>
                <w:rFonts w:ascii="Times New Roman" w:hAnsi="Times New Roman"/>
              </w:rPr>
            </w:pPr>
            <w:r w:rsidRPr="00931919">
              <w:rPr>
                <w:rFonts w:ascii="Times New Roman" w:eastAsia="Times New Roman" w:hAnsi="Times New Roman"/>
              </w:rPr>
              <w:t xml:space="preserve">A contratação será realizada em </w:t>
            </w:r>
            <w:r w:rsidRPr="00931919">
              <w:rPr>
                <w:rFonts w:ascii="Times New Roman" w:eastAsia="Times New Roman" w:hAnsi="Times New Roman"/>
                <w:b/>
                <w:bCs/>
              </w:rPr>
              <w:t>item único</w:t>
            </w:r>
            <w:r w:rsidRPr="00931919">
              <w:rPr>
                <w:rFonts w:ascii="Times New Roman" w:eastAsia="Times New Roman" w:hAnsi="Times New Roman"/>
              </w:rPr>
              <w:t>, sem parcelamento, com fundamento no art. 40, § 3º, incisos I e II, da Lei nº 14.133/2021.</w:t>
            </w:r>
          </w:p>
          <w:p w14:paraId="02CE98C8" w14:textId="77777777" w:rsidR="0023179C" w:rsidRPr="00931919" w:rsidRDefault="00CD3728" w:rsidP="00143ECF">
            <w:pPr>
              <w:spacing w:after="0" w:line="240" w:lineRule="auto"/>
              <w:jc w:val="both"/>
              <w:rPr>
                <w:rFonts w:ascii="Times New Roman" w:hAnsi="Times New Roman"/>
              </w:rPr>
            </w:pPr>
            <w:r w:rsidRPr="00931919">
              <w:rPr>
                <w:rFonts w:ascii="Times New Roman" w:eastAsia="Times New Roman" w:hAnsi="Times New Roman"/>
              </w:rPr>
              <w:t>Os projetos pretendidos configuram sistema único e integrado: o projeto arquitetônico depende do levantamento topográfico e da sondagem; as fundações e contenções do subsolo dependem do laudo de sondagem; as instalações, o PPCI e a acessibilidade dependem da arquitetura e da estrutura; e o orçamento depende de todos os demais. A divisão em contratos distintos criaria risco concreto de incompatibilidades, lacunas de responsabilidade e atrasos em cadeia, comprometendo o conjunto do objeto.</w:t>
            </w:r>
          </w:p>
          <w:p w14:paraId="6B8CD3A1" w14:textId="77777777" w:rsidR="0023179C" w:rsidRPr="00931919" w:rsidRDefault="00CD3728" w:rsidP="00143ECF">
            <w:pPr>
              <w:spacing w:after="0" w:line="240" w:lineRule="auto"/>
              <w:jc w:val="both"/>
              <w:rPr>
                <w:rFonts w:ascii="Times New Roman" w:eastAsia="Times New Roman" w:hAnsi="Times New Roman"/>
              </w:rPr>
            </w:pPr>
            <w:r w:rsidRPr="00931919">
              <w:rPr>
                <w:rFonts w:ascii="Times New Roman" w:eastAsia="Times New Roman" w:hAnsi="Times New Roman"/>
              </w:rPr>
              <w:t>A contratação conjunta também reduz custos de mobilização e de gestão contratual. A competitividade é preservada pela exigência de qualificação técnica limitada às parcelas de maior relevância e pela admissão de subcontratação parcial dos serviços de topografia e sondagem, permitindo a participação de empresas que não executem diretamente tais levantamentos.</w:t>
            </w:r>
          </w:p>
          <w:p w14:paraId="72FA8D57" w14:textId="6B3D64CE" w:rsidR="00931919" w:rsidRPr="00931919" w:rsidRDefault="00931919" w:rsidP="00143ECF">
            <w:pPr>
              <w:spacing w:after="0" w:line="240" w:lineRule="auto"/>
              <w:jc w:val="both"/>
              <w:rPr>
                <w:rFonts w:ascii="Times New Roman" w:hAnsi="Times New Roman"/>
              </w:rPr>
            </w:pPr>
            <w:r w:rsidRPr="00931919">
              <w:rPr>
                <w:rFonts w:ascii="Times New Roman" w:hAnsi="Times New Roman"/>
              </w:rPr>
              <w:t>A futura contratação será executada por empreitada por preço global, com pagamento por etapas mediante aceite dos produtos.</w:t>
            </w:r>
          </w:p>
        </w:tc>
      </w:tr>
      <w:tr w:rsidR="0023179C" w14:paraId="32699B7A" w14:textId="77777777">
        <w:tc>
          <w:tcPr>
            <w:tcW w:w="822" w:type="dxa"/>
            <w:tcBorders>
              <w:top w:val="single" w:sz="4" w:space="0" w:color="000000"/>
              <w:left w:val="single" w:sz="4" w:space="0" w:color="000000"/>
              <w:bottom w:val="single" w:sz="4" w:space="0" w:color="000000"/>
              <w:right w:val="single" w:sz="4" w:space="0" w:color="000000"/>
            </w:tcBorders>
          </w:tcPr>
          <w:p w14:paraId="433C22CB" w14:textId="77777777" w:rsidR="0023179C" w:rsidRDefault="00CD3728" w:rsidP="00143ECF">
            <w:pPr>
              <w:spacing w:after="0" w:line="240" w:lineRule="auto"/>
              <w:jc w:val="center"/>
            </w:pPr>
            <w:r>
              <w:rPr>
                <w:rFonts w:ascii="Times New Roman" w:eastAsia="Times New Roman" w:hAnsi="Times New Roman"/>
                <w:b/>
                <w:bCs/>
              </w:rPr>
              <w:t>9.</w:t>
            </w:r>
          </w:p>
        </w:tc>
        <w:tc>
          <w:tcPr>
            <w:tcW w:w="9640" w:type="dxa"/>
            <w:tcBorders>
              <w:top w:val="single" w:sz="4" w:space="0" w:color="000000"/>
              <w:left w:val="single" w:sz="4" w:space="0" w:color="000000"/>
              <w:bottom w:val="single" w:sz="4" w:space="0" w:color="000000"/>
              <w:right w:val="single" w:sz="4" w:space="0" w:color="000000"/>
            </w:tcBorders>
          </w:tcPr>
          <w:p w14:paraId="750F9F5B" w14:textId="77777777" w:rsidR="0023179C" w:rsidRDefault="00CD3728" w:rsidP="00143ECF">
            <w:pPr>
              <w:spacing w:after="0" w:line="240" w:lineRule="auto"/>
              <w:jc w:val="both"/>
            </w:pPr>
            <w:r>
              <w:rPr>
                <w:rFonts w:ascii="Times New Roman" w:eastAsia="Times New Roman" w:hAnsi="Times New Roman"/>
                <w:b/>
                <w:bCs/>
              </w:rPr>
              <w:t>Demonstrativo dos resultados pretendidos em termos de economicidade e de melhor aproveitamento dos recursos humanos, materiais e financeiros disponíveis.</w:t>
            </w:r>
          </w:p>
          <w:p w14:paraId="73616F8D" w14:textId="77777777" w:rsidR="0023179C" w:rsidRDefault="00CD3728" w:rsidP="00143ECF">
            <w:pPr>
              <w:spacing w:after="0" w:line="240" w:lineRule="auto"/>
              <w:jc w:val="both"/>
            </w:pPr>
            <w:r>
              <w:rPr>
                <w:rFonts w:ascii="Times New Roman" w:eastAsia="Times New Roman" w:hAnsi="Times New Roman"/>
              </w:rPr>
              <w:t>A contratação tem por objetivo:</w:t>
            </w:r>
          </w:p>
          <w:p w14:paraId="7C015A0C" w14:textId="77777777" w:rsidR="0023179C" w:rsidRDefault="00CD3728" w:rsidP="00143ECF">
            <w:pPr>
              <w:spacing w:after="0" w:line="240" w:lineRule="auto"/>
              <w:ind w:left="426" w:hanging="213"/>
              <w:jc w:val="both"/>
            </w:pPr>
            <w:r>
              <w:rPr>
                <w:rFonts w:ascii="Times New Roman" w:eastAsia="Times New Roman" w:hAnsi="Times New Roman"/>
              </w:rPr>
              <w:t>• obter projetos completos, compatibilizados e aprovados, aptos a subsidiar a licitação e a execução da obra;</w:t>
            </w:r>
          </w:p>
          <w:p w14:paraId="5AE878DE" w14:textId="77777777" w:rsidR="0023179C" w:rsidRDefault="00CD3728" w:rsidP="00143ECF">
            <w:pPr>
              <w:spacing w:after="0" w:line="240" w:lineRule="auto"/>
              <w:ind w:left="426" w:hanging="213"/>
              <w:jc w:val="both"/>
            </w:pPr>
            <w:r>
              <w:rPr>
                <w:rFonts w:ascii="Times New Roman" w:eastAsia="Times New Roman" w:hAnsi="Times New Roman"/>
              </w:rPr>
              <w:t>• estimar com precisão o custo da obra, reduzindo riscos de sobrepreço, subestimação e aditivos;</w:t>
            </w:r>
          </w:p>
          <w:p w14:paraId="2371B5E4" w14:textId="77777777" w:rsidR="0023179C" w:rsidRDefault="00CD3728" w:rsidP="00143ECF">
            <w:pPr>
              <w:spacing w:after="0" w:line="240" w:lineRule="auto"/>
              <w:ind w:left="426" w:hanging="213"/>
              <w:jc w:val="both"/>
            </w:pPr>
            <w:r>
              <w:rPr>
                <w:rFonts w:ascii="Times New Roman" w:eastAsia="Times New Roman" w:hAnsi="Times New Roman"/>
              </w:rPr>
              <w:t>• viabilizar a captação de recursos junto a outros entes e programas;</w:t>
            </w:r>
          </w:p>
          <w:p w14:paraId="5C5BAC1D" w14:textId="77777777" w:rsidR="0023179C" w:rsidRDefault="00CD3728" w:rsidP="00143ECF">
            <w:pPr>
              <w:spacing w:after="0" w:line="240" w:lineRule="auto"/>
              <w:ind w:left="426" w:hanging="213"/>
              <w:jc w:val="both"/>
            </w:pPr>
            <w:r>
              <w:rPr>
                <w:rFonts w:ascii="Times New Roman" w:eastAsia="Times New Roman" w:hAnsi="Times New Roman"/>
              </w:rPr>
              <w:t>• reduzir falhas de projeto, retrabalho e paralisações, especialmente nas soluções de subsolo, contenções e acesso rodoviário;</w:t>
            </w:r>
          </w:p>
          <w:p w14:paraId="43E6CEE5" w14:textId="77777777" w:rsidR="0023179C" w:rsidRDefault="00CD3728" w:rsidP="00143ECF">
            <w:pPr>
              <w:spacing w:after="0" w:line="240" w:lineRule="auto"/>
              <w:ind w:left="426" w:hanging="213"/>
              <w:jc w:val="both"/>
            </w:pPr>
            <w:r>
              <w:rPr>
                <w:rFonts w:ascii="Times New Roman" w:eastAsia="Times New Roman" w:hAnsi="Times New Roman"/>
              </w:rPr>
              <w:t>• concentrar a equipe municipal nas atividades de planejamento, fiscalização e gestão;</w:t>
            </w:r>
          </w:p>
          <w:p w14:paraId="61AFDACB" w14:textId="0CBA6364" w:rsidR="0023179C" w:rsidRDefault="00CD3728" w:rsidP="00143ECF">
            <w:pPr>
              <w:spacing w:after="0" w:line="240" w:lineRule="auto"/>
              <w:ind w:left="426" w:hanging="213"/>
              <w:jc w:val="both"/>
            </w:pPr>
            <w:r>
              <w:rPr>
                <w:rFonts w:ascii="Times New Roman" w:eastAsia="Times New Roman" w:hAnsi="Times New Roman"/>
              </w:rPr>
              <w:t>• assegurar edificação funcional, acessível, durável, energeticamente eficiente e de manutenção simplificada, reunindo em um único local os serviços prestados ao produtor rural.</w:t>
            </w:r>
          </w:p>
        </w:tc>
      </w:tr>
      <w:tr w:rsidR="0023179C" w14:paraId="708E8837" w14:textId="77777777">
        <w:tc>
          <w:tcPr>
            <w:tcW w:w="822" w:type="dxa"/>
            <w:tcBorders>
              <w:top w:val="single" w:sz="4" w:space="0" w:color="000000"/>
              <w:left w:val="single" w:sz="4" w:space="0" w:color="000000"/>
              <w:bottom w:val="single" w:sz="4" w:space="0" w:color="000000"/>
              <w:right w:val="single" w:sz="4" w:space="0" w:color="000000"/>
            </w:tcBorders>
          </w:tcPr>
          <w:p w14:paraId="187E6938" w14:textId="77777777" w:rsidR="0023179C" w:rsidRDefault="00CD3728" w:rsidP="00143ECF">
            <w:pPr>
              <w:spacing w:after="0" w:line="240" w:lineRule="auto"/>
              <w:jc w:val="center"/>
            </w:pPr>
            <w:r>
              <w:rPr>
                <w:rFonts w:ascii="Times New Roman" w:eastAsia="Times New Roman" w:hAnsi="Times New Roman"/>
                <w:b/>
                <w:bCs/>
              </w:rPr>
              <w:t>10.</w:t>
            </w:r>
          </w:p>
        </w:tc>
        <w:tc>
          <w:tcPr>
            <w:tcW w:w="9640" w:type="dxa"/>
            <w:tcBorders>
              <w:top w:val="single" w:sz="4" w:space="0" w:color="000000"/>
              <w:left w:val="single" w:sz="4" w:space="0" w:color="000000"/>
              <w:bottom w:val="single" w:sz="4" w:space="0" w:color="000000"/>
              <w:right w:val="single" w:sz="4" w:space="0" w:color="000000"/>
            </w:tcBorders>
          </w:tcPr>
          <w:p w14:paraId="44975146" w14:textId="77777777" w:rsidR="0023179C" w:rsidRDefault="00CD3728" w:rsidP="00143ECF">
            <w:pPr>
              <w:spacing w:after="0" w:line="240" w:lineRule="auto"/>
              <w:jc w:val="both"/>
            </w:pPr>
            <w:r>
              <w:rPr>
                <w:rFonts w:ascii="Times New Roman" w:eastAsia="Times New Roman" w:hAnsi="Times New Roman"/>
                <w:b/>
                <w:bCs/>
              </w:rPr>
              <w:t>Providências a serem adotadas pela Administração previamente à celebração do contrato.</w:t>
            </w:r>
          </w:p>
          <w:p w14:paraId="7C15D2A7" w14:textId="60EBCA7D" w:rsidR="0023179C" w:rsidRDefault="00CD3728" w:rsidP="00143ECF">
            <w:pPr>
              <w:spacing w:after="0" w:line="240" w:lineRule="auto"/>
              <w:ind w:left="426" w:hanging="213"/>
              <w:jc w:val="both"/>
            </w:pPr>
            <w:r>
              <w:rPr>
                <w:rFonts w:ascii="Times New Roman" w:eastAsia="Times New Roman" w:hAnsi="Times New Roman"/>
              </w:rPr>
              <w:t xml:space="preserve">• definir formalmente o terreno de implantação, com verificação da titularidade e da regularidade dominial (matrícula nº </w:t>
            </w:r>
            <w:r w:rsidR="00B16043">
              <w:rPr>
                <w:rFonts w:ascii="Times New Roman" w:eastAsia="Times New Roman" w:hAnsi="Times New Roman"/>
              </w:rPr>
              <w:t>18.509</w:t>
            </w:r>
            <w:r>
              <w:rPr>
                <w:rFonts w:ascii="Times New Roman" w:eastAsia="Times New Roman" w:hAnsi="Times New Roman"/>
              </w:rPr>
              <w:t>);</w:t>
            </w:r>
          </w:p>
          <w:p w14:paraId="6C3F43E8" w14:textId="77777777" w:rsidR="0023179C" w:rsidRDefault="00CD3728" w:rsidP="00143ECF">
            <w:pPr>
              <w:spacing w:after="0" w:line="240" w:lineRule="auto"/>
              <w:ind w:left="426" w:hanging="213"/>
              <w:jc w:val="both"/>
            </w:pPr>
            <w:r>
              <w:rPr>
                <w:rFonts w:ascii="Times New Roman" w:eastAsia="Times New Roman" w:hAnsi="Times New Roman"/>
              </w:rPr>
              <w:t>• consultar previamente as diretrizes urbanísticas incidentes e eventuais restrições da faixa de domínio da rodovia;</w:t>
            </w:r>
          </w:p>
          <w:p w14:paraId="521D0335" w14:textId="77777777" w:rsidR="0023179C" w:rsidRDefault="00CD3728" w:rsidP="00143ECF">
            <w:pPr>
              <w:spacing w:after="0" w:line="240" w:lineRule="auto"/>
              <w:ind w:left="426" w:hanging="213"/>
              <w:jc w:val="both"/>
            </w:pPr>
            <w:r>
              <w:rPr>
                <w:rFonts w:ascii="Times New Roman" w:eastAsia="Times New Roman" w:hAnsi="Times New Roman"/>
              </w:rPr>
              <w:t>• validar o programa de necessidades com EPAGRI, CIDASC e Defesa Civil e, se for o caso, iniciar a formalização dos instrumentos de cooperação ou de cessão de uso dos espaços;</w:t>
            </w:r>
          </w:p>
          <w:p w14:paraId="3E10DFB2" w14:textId="77777777" w:rsidR="0023179C" w:rsidRDefault="00CD3728" w:rsidP="00143ECF">
            <w:pPr>
              <w:spacing w:after="0" w:line="240" w:lineRule="auto"/>
              <w:ind w:left="426" w:hanging="213"/>
              <w:jc w:val="both"/>
            </w:pPr>
            <w:r>
              <w:rPr>
                <w:rFonts w:ascii="Times New Roman" w:eastAsia="Times New Roman" w:hAnsi="Times New Roman"/>
              </w:rPr>
              <w:t>• disponibilizar à contratada documentos, levantamentos e estudos eventualmente existentes;</w:t>
            </w:r>
          </w:p>
          <w:p w14:paraId="28628888" w14:textId="77777777" w:rsidR="0023179C" w:rsidRDefault="00CD3728" w:rsidP="00143ECF">
            <w:pPr>
              <w:spacing w:after="0" w:line="240" w:lineRule="auto"/>
              <w:ind w:left="426" w:hanging="213"/>
              <w:jc w:val="both"/>
            </w:pPr>
            <w:r>
              <w:rPr>
                <w:rFonts w:ascii="Times New Roman" w:eastAsia="Times New Roman" w:hAnsi="Times New Roman"/>
              </w:rPr>
              <w:lastRenderedPageBreak/>
              <w:t>• designar formalmente o gestor e o fiscal do contrato, este preferencialmente profissional habilitado em arquitetura ou engenharia;</w:t>
            </w:r>
          </w:p>
          <w:p w14:paraId="671C8D37" w14:textId="77777777" w:rsidR="0023179C" w:rsidRDefault="00CD3728" w:rsidP="00143ECF">
            <w:pPr>
              <w:spacing w:after="0" w:line="240" w:lineRule="auto"/>
              <w:ind w:left="426" w:hanging="213"/>
              <w:jc w:val="both"/>
            </w:pPr>
            <w:r>
              <w:rPr>
                <w:rFonts w:ascii="Times New Roman" w:eastAsia="Times New Roman" w:hAnsi="Times New Roman"/>
              </w:rPr>
              <w:t>• assegurar recursos orçamentários para o contrato e para as taxas de análise e aprovação dos órgãos externos;</w:t>
            </w:r>
          </w:p>
          <w:p w14:paraId="51F9A07C" w14:textId="50C40A94" w:rsidR="0023179C" w:rsidRDefault="00CD3728" w:rsidP="00143ECF">
            <w:pPr>
              <w:spacing w:after="0" w:line="240" w:lineRule="auto"/>
              <w:ind w:left="426" w:hanging="213"/>
              <w:jc w:val="both"/>
            </w:pPr>
            <w:r>
              <w:rPr>
                <w:rFonts w:ascii="Times New Roman" w:eastAsia="Times New Roman" w:hAnsi="Times New Roman"/>
              </w:rPr>
              <w:t>• organizar o fluxo interno de análise e aprovação dos produtos de cada etapa, observados os prazos do Termo de Referência.</w:t>
            </w:r>
          </w:p>
        </w:tc>
      </w:tr>
      <w:tr w:rsidR="0023179C" w14:paraId="5B4DFEAF" w14:textId="77777777">
        <w:tc>
          <w:tcPr>
            <w:tcW w:w="822" w:type="dxa"/>
            <w:tcBorders>
              <w:top w:val="single" w:sz="4" w:space="0" w:color="000000"/>
              <w:left w:val="single" w:sz="4" w:space="0" w:color="000000"/>
              <w:bottom w:val="single" w:sz="4" w:space="0" w:color="000000"/>
              <w:right w:val="single" w:sz="4" w:space="0" w:color="000000"/>
            </w:tcBorders>
          </w:tcPr>
          <w:p w14:paraId="270C97A6" w14:textId="77777777" w:rsidR="0023179C" w:rsidRDefault="00CD3728" w:rsidP="00143ECF">
            <w:pPr>
              <w:spacing w:after="0" w:line="240" w:lineRule="auto"/>
              <w:jc w:val="center"/>
            </w:pPr>
            <w:r>
              <w:rPr>
                <w:rFonts w:ascii="Times New Roman" w:eastAsia="Times New Roman" w:hAnsi="Times New Roman"/>
                <w:b/>
                <w:bCs/>
              </w:rPr>
              <w:lastRenderedPageBreak/>
              <w:t>11.</w:t>
            </w:r>
          </w:p>
        </w:tc>
        <w:tc>
          <w:tcPr>
            <w:tcW w:w="9640" w:type="dxa"/>
            <w:tcBorders>
              <w:top w:val="single" w:sz="4" w:space="0" w:color="000000"/>
              <w:left w:val="single" w:sz="4" w:space="0" w:color="000000"/>
              <w:bottom w:val="single" w:sz="4" w:space="0" w:color="000000"/>
              <w:right w:val="single" w:sz="4" w:space="0" w:color="000000"/>
            </w:tcBorders>
          </w:tcPr>
          <w:p w14:paraId="292283E9" w14:textId="77777777" w:rsidR="0023179C" w:rsidRDefault="00CD3728" w:rsidP="00143ECF">
            <w:pPr>
              <w:spacing w:after="0" w:line="240" w:lineRule="auto"/>
              <w:jc w:val="both"/>
            </w:pPr>
            <w:r>
              <w:rPr>
                <w:rFonts w:ascii="Times New Roman" w:eastAsia="Times New Roman" w:hAnsi="Times New Roman"/>
                <w:b/>
                <w:bCs/>
              </w:rPr>
              <w:t>Contratações correlatas e/ou interdependentes.</w:t>
            </w:r>
          </w:p>
          <w:p w14:paraId="166FD513" w14:textId="0BD6C28F" w:rsidR="0023179C" w:rsidRDefault="00CD3728" w:rsidP="00143ECF">
            <w:pPr>
              <w:spacing w:after="0" w:line="240" w:lineRule="auto"/>
              <w:jc w:val="both"/>
            </w:pPr>
            <w:r>
              <w:rPr>
                <w:rFonts w:ascii="Times New Roman" w:eastAsia="Times New Roman" w:hAnsi="Times New Roman"/>
              </w:rPr>
              <w:t>Não foram identificadas contratações interdependentes cuja execução condicione o início do objeto. Há, contudo, relação com contratações futuras correlatas, em especial a licitação da obra de construção da nova sede e do Viveiro Municipal e, eventualmente, a aquisição de mobiliário e equipamentos, que dependerão dos produtos técnicos desta contratação.</w:t>
            </w:r>
          </w:p>
        </w:tc>
      </w:tr>
      <w:tr w:rsidR="0023179C" w14:paraId="79D87294" w14:textId="77777777">
        <w:tc>
          <w:tcPr>
            <w:tcW w:w="822" w:type="dxa"/>
            <w:tcBorders>
              <w:top w:val="single" w:sz="4" w:space="0" w:color="000000"/>
              <w:left w:val="single" w:sz="4" w:space="0" w:color="000000"/>
              <w:bottom w:val="single" w:sz="4" w:space="0" w:color="000000"/>
              <w:right w:val="single" w:sz="4" w:space="0" w:color="000000"/>
            </w:tcBorders>
          </w:tcPr>
          <w:p w14:paraId="5A307609" w14:textId="77777777" w:rsidR="0023179C" w:rsidRDefault="00CD3728" w:rsidP="00143ECF">
            <w:pPr>
              <w:spacing w:after="0" w:line="240" w:lineRule="auto"/>
              <w:jc w:val="center"/>
            </w:pPr>
            <w:r>
              <w:rPr>
                <w:rFonts w:ascii="Times New Roman" w:eastAsia="Times New Roman" w:hAnsi="Times New Roman"/>
                <w:b/>
                <w:bCs/>
              </w:rPr>
              <w:t>12.</w:t>
            </w:r>
          </w:p>
        </w:tc>
        <w:tc>
          <w:tcPr>
            <w:tcW w:w="9640" w:type="dxa"/>
            <w:tcBorders>
              <w:top w:val="single" w:sz="4" w:space="0" w:color="000000"/>
              <w:left w:val="single" w:sz="4" w:space="0" w:color="000000"/>
              <w:bottom w:val="single" w:sz="4" w:space="0" w:color="000000"/>
              <w:right w:val="single" w:sz="4" w:space="0" w:color="000000"/>
            </w:tcBorders>
          </w:tcPr>
          <w:p w14:paraId="102D17C8" w14:textId="77777777" w:rsidR="0023179C" w:rsidRDefault="00CD3728" w:rsidP="00143ECF">
            <w:pPr>
              <w:spacing w:after="0" w:line="240" w:lineRule="auto"/>
              <w:jc w:val="both"/>
            </w:pPr>
            <w:r>
              <w:rPr>
                <w:rFonts w:ascii="Times New Roman" w:eastAsia="Times New Roman" w:hAnsi="Times New Roman"/>
                <w:b/>
                <w:bCs/>
              </w:rPr>
              <w:t>Descrição de possíveis impactos ambientais e respectivas medidas mitigadoras, incluídos requisitos de baixo consumo de energia e de outros recursos, bem como logística reversa para desfazimento e reciclagem de bens e refugos, quando aplicável.</w:t>
            </w:r>
          </w:p>
          <w:p w14:paraId="2CF60556" w14:textId="77777777" w:rsidR="0023179C" w:rsidRDefault="00CD3728" w:rsidP="00143ECF">
            <w:pPr>
              <w:spacing w:after="0" w:line="240" w:lineRule="auto"/>
              <w:jc w:val="both"/>
            </w:pPr>
            <w:r>
              <w:rPr>
                <w:rFonts w:ascii="Times New Roman" w:eastAsia="Times New Roman" w:hAnsi="Times New Roman"/>
              </w:rPr>
              <w:t>A contratação de serviços intelectuais de projeto não gera impactos ambientais diretos relevantes. Os projetos, porém, deverão antecipar e mitigar os impactos da futura obra, contemplando, quando aplicável:</w:t>
            </w:r>
          </w:p>
          <w:p w14:paraId="75377820" w14:textId="77777777" w:rsidR="0023179C" w:rsidRDefault="00CD3728" w:rsidP="00143ECF">
            <w:pPr>
              <w:spacing w:after="0" w:line="240" w:lineRule="auto"/>
              <w:ind w:left="426" w:hanging="213"/>
              <w:jc w:val="both"/>
            </w:pPr>
            <w:r>
              <w:rPr>
                <w:rFonts w:ascii="Times New Roman" w:eastAsia="Times New Roman" w:hAnsi="Times New Roman"/>
              </w:rPr>
              <w:t>• drenagem adequada, prevenindo erosão e assoreamento, especialmente nas áreas de corte do subsolo e no estacionamento;</w:t>
            </w:r>
          </w:p>
          <w:p w14:paraId="6C085331" w14:textId="77777777" w:rsidR="0023179C" w:rsidRDefault="00CD3728" w:rsidP="00143ECF">
            <w:pPr>
              <w:spacing w:after="0" w:line="240" w:lineRule="auto"/>
              <w:ind w:left="426" w:hanging="213"/>
              <w:jc w:val="both"/>
            </w:pPr>
            <w:r>
              <w:rPr>
                <w:rFonts w:ascii="Times New Roman" w:eastAsia="Times New Roman" w:hAnsi="Times New Roman"/>
              </w:rPr>
              <w:t>• levantamento da vegetação existente e minimização de supressões;</w:t>
            </w:r>
          </w:p>
          <w:p w14:paraId="166C6A7A" w14:textId="77777777" w:rsidR="0023179C" w:rsidRDefault="00CD3728" w:rsidP="00143ECF">
            <w:pPr>
              <w:spacing w:after="0" w:line="240" w:lineRule="auto"/>
              <w:ind w:left="426" w:hanging="213"/>
              <w:jc w:val="both"/>
            </w:pPr>
            <w:r>
              <w:rPr>
                <w:rFonts w:ascii="Times New Roman" w:eastAsia="Times New Roman" w:hAnsi="Times New Roman"/>
              </w:rPr>
              <w:t>• aproveitamento de água de chuva e uso racional de água;</w:t>
            </w:r>
          </w:p>
          <w:p w14:paraId="583D7E8B" w14:textId="77777777" w:rsidR="0023179C" w:rsidRDefault="00CD3728" w:rsidP="00143ECF">
            <w:pPr>
              <w:spacing w:after="0" w:line="240" w:lineRule="auto"/>
              <w:ind w:left="426" w:hanging="213"/>
              <w:jc w:val="both"/>
            </w:pPr>
            <w:r>
              <w:rPr>
                <w:rFonts w:ascii="Times New Roman" w:eastAsia="Times New Roman" w:hAnsi="Times New Roman"/>
              </w:rPr>
              <w:t>• iluminação e ventilação naturais, orientação solar adequada, iluminação LED e infraestrutura para energia fotovoltaica;</w:t>
            </w:r>
          </w:p>
          <w:p w14:paraId="4A2C8B7D" w14:textId="77777777" w:rsidR="0023179C" w:rsidRDefault="00CD3728" w:rsidP="00143ECF">
            <w:pPr>
              <w:spacing w:after="0" w:line="240" w:lineRule="auto"/>
              <w:ind w:left="426" w:hanging="213"/>
              <w:jc w:val="both"/>
            </w:pPr>
            <w:r>
              <w:rPr>
                <w:rFonts w:ascii="Times New Roman" w:eastAsia="Times New Roman" w:hAnsi="Times New Roman"/>
              </w:rPr>
              <w:t>• especificação de materiais duráveis e de menor impacto ambiental;</w:t>
            </w:r>
          </w:p>
          <w:p w14:paraId="29F010F4" w14:textId="77777777" w:rsidR="0023179C" w:rsidRDefault="00CD3728" w:rsidP="00143ECF">
            <w:pPr>
              <w:spacing w:after="0" w:line="240" w:lineRule="auto"/>
              <w:ind w:left="426" w:hanging="213"/>
              <w:jc w:val="both"/>
            </w:pPr>
            <w:r>
              <w:rPr>
                <w:rFonts w:ascii="Times New Roman" w:eastAsia="Times New Roman" w:hAnsi="Times New Roman"/>
              </w:rPr>
              <w:t>• diretrizes de gestão dos resíduos da construção civil (Resolução CONAMA nº 307/2002) a serem observadas na execução da obra;</w:t>
            </w:r>
          </w:p>
          <w:p w14:paraId="79C7329C" w14:textId="77777777" w:rsidR="0023179C" w:rsidRDefault="00CD3728" w:rsidP="00143ECF">
            <w:pPr>
              <w:spacing w:after="0" w:line="240" w:lineRule="auto"/>
              <w:ind w:left="426" w:hanging="213"/>
              <w:jc w:val="both"/>
            </w:pPr>
            <w:r>
              <w:rPr>
                <w:rFonts w:ascii="Times New Roman" w:eastAsia="Times New Roman" w:hAnsi="Times New Roman"/>
              </w:rPr>
              <w:t>• elementos técnicos para eventual licenciamento ambiental ou autorização específica, se exigíveis.</w:t>
            </w:r>
          </w:p>
          <w:p w14:paraId="5751D801" w14:textId="48F2A5EA" w:rsidR="0023179C" w:rsidRDefault="00CD3728" w:rsidP="00143ECF">
            <w:pPr>
              <w:spacing w:after="0" w:line="240" w:lineRule="auto"/>
              <w:jc w:val="both"/>
            </w:pPr>
            <w:r>
              <w:rPr>
                <w:rFonts w:ascii="Times New Roman" w:eastAsia="Times New Roman" w:hAnsi="Times New Roman"/>
              </w:rPr>
              <w:t>Não se identificam, nesta fase, exigências de logística reversa, sem prejuízo de sua previsão na etapa de execução da obra.</w:t>
            </w:r>
          </w:p>
        </w:tc>
      </w:tr>
      <w:tr w:rsidR="0023179C" w14:paraId="07F14064" w14:textId="77777777" w:rsidTr="00B16043">
        <w:trPr>
          <w:trHeight w:val="9405"/>
        </w:trPr>
        <w:tc>
          <w:tcPr>
            <w:tcW w:w="822" w:type="dxa"/>
            <w:tcBorders>
              <w:top w:val="single" w:sz="4" w:space="0" w:color="000000"/>
              <w:left w:val="single" w:sz="4" w:space="0" w:color="000000"/>
              <w:bottom w:val="single" w:sz="4" w:space="0" w:color="000000"/>
              <w:right w:val="single" w:sz="4" w:space="0" w:color="000000"/>
            </w:tcBorders>
          </w:tcPr>
          <w:p w14:paraId="7FB09E42" w14:textId="77777777" w:rsidR="0023179C" w:rsidRDefault="00CD3728" w:rsidP="00143ECF">
            <w:pPr>
              <w:spacing w:after="0" w:line="240" w:lineRule="auto"/>
              <w:jc w:val="center"/>
            </w:pPr>
            <w:r>
              <w:rPr>
                <w:rFonts w:ascii="Times New Roman" w:eastAsia="Times New Roman" w:hAnsi="Times New Roman"/>
                <w:b/>
                <w:bCs/>
              </w:rPr>
              <w:lastRenderedPageBreak/>
              <w:t>13.</w:t>
            </w:r>
          </w:p>
        </w:tc>
        <w:tc>
          <w:tcPr>
            <w:tcW w:w="9640" w:type="dxa"/>
            <w:tcBorders>
              <w:top w:val="single" w:sz="4" w:space="0" w:color="000000"/>
              <w:left w:val="single" w:sz="4" w:space="0" w:color="000000"/>
              <w:bottom w:val="single" w:sz="4" w:space="0" w:color="000000"/>
              <w:right w:val="single" w:sz="4" w:space="0" w:color="000000"/>
            </w:tcBorders>
          </w:tcPr>
          <w:p w14:paraId="35B44BFA" w14:textId="77777777" w:rsidR="0023179C" w:rsidRDefault="00CD3728" w:rsidP="00143ECF">
            <w:pPr>
              <w:spacing w:after="0" w:line="240" w:lineRule="auto"/>
              <w:jc w:val="both"/>
            </w:pPr>
            <w:r>
              <w:rPr>
                <w:rFonts w:ascii="Times New Roman" w:eastAsia="Times New Roman" w:hAnsi="Times New Roman"/>
                <w:b/>
                <w:bCs/>
              </w:rPr>
              <w:t>Mapa de riscos.</w:t>
            </w:r>
          </w:p>
          <w:p w14:paraId="60D3955A" w14:textId="77777777" w:rsidR="0023179C" w:rsidRDefault="00CD3728" w:rsidP="00143ECF">
            <w:pPr>
              <w:spacing w:after="0" w:line="240" w:lineRule="auto"/>
              <w:jc w:val="both"/>
            </w:pPr>
            <w:r>
              <w:rPr>
                <w:rFonts w:ascii="Times New Roman" w:eastAsia="Times New Roman" w:hAnsi="Times New Roman"/>
              </w:rPr>
              <w:t>FASE DE ANÁLISE: (X) Planejamento da contratação e seleção do fornecedor  (X) Gestão do contrato</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100"/>
              <w:gridCol w:w="1100"/>
              <w:gridCol w:w="2100"/>
              <w:gridCol w:w="2150"/>
              <w:gridCol w:w="1790"/>
            </w:tblGrid>
            <w:tr w:rsidR="0023179C" w14:paraId="5E2B6B7D" w14:textId="77777777">
              <w:trPr>
                <w:tblHeader/>
              </w:trPr>
              <w:tc>
                <w:tcPr>
                  <w:tcW w:w="2100" w:type="dxa"/>
                  <w:shd w:val="clear" w:color="auto" w:fill="D9D9D9"/>
                  <w:vAlign w:val="center"/>
                </w:tcPr>
                <w:p w14:paraId="30158E3D" w14:textId="77777777" w:rsidR="0023179C" w:rsidRDefault="00CD3728" w:rsidP="00143ECF">
                  <w:pPr>
                    <w:spacing w:after="0" w:line="240" w:lineRule="auto"/>
                    <w:jc w:val="center"/>
                  </w:pPr>
                  <w:r>
                    <w:rPr>
                      <w:rFonts w:ascii="Times New Roman" w:eastAsia="Times New Roman" w:hAnsi="Times New Roman"/>
                      <w:b/>
                      <w:bCs/>
                      <w:sz w:val="20"/>
                      <w:szCs w:val="20"/>
                    </w:rPr>
                    <w:t>Risco</w:t>
                  </w:r>
                </w:p>
              </w:tc>
              <w:tc>
                <w:tcPr>
                  <w:tcW w:w="1100" w:type="dxa"/>
                  <w:shd w:val="clear" w:color="auto" w:fill="D9D9D9"/>
                  <w:vAlign w:val="center"/>
                </w:tcPr>
                <w:p w14:paraId="45FE8D41" w14:textId="77777777" w:rsidR="0023179C" w:rsidRDefault="00CD3728" w:rsidP="00143ECF">
                  <w:pPr>
                    <w:spacing w:after="0" w:line="240" w:lineRule="auto"/>
                    <w:jc w:val="center"/>
                  </w:pPr>
                  <w:r>
                    <w:rPr>
                      <w:rFonts w:ascii="Times New Roman" w:eastAsia="Times New Roman" w:hAnsi="Times New Roman"/>
                      <w:b/>
                      <w:bCs/>
                      <w:sz w:val="20"/>
                      <w:szCs w:val="20"/>
                    </w:rPr>
                    <w:t>Prob. / Impacto</w:t>
                  </w:r>
                </w:p>
              </w:tc>
              <w:tc>
                <w:tcPr>
                  <w:tcW w:w="2100" w:type="dxa"/>
                  <w:shd w:val="clear" w:color="auto" w:fill="D9D9D9"/>
                  <w:vAlign w:val="center"/>
                </w:tcPr>
                <w:p w14:paraId="517DE14F" w14:textId="77777777" w:rsidR="0023179C" w:rsidRDefault="00CD3728" w:rsidP="00143ECF">
                  <w:pPr>
                    <w:spacing w:after="0" w:line="240" w:lineRule="auto"/>
                    <w:jc w:val="center"/>
                  </w:pPr>
                  <w:r>
                    <w:rPr>
                      <w:rFonts w:ascii="Times New Roman" w:eastAsia="Times New Roman" w:hAnsi="Times New Roman"/>
                      <w:b/>
                      <w:bCs/>
                      <w:sz w:val="20"/>
                      <w:szCs w:val="20"/>
                    </w:rPr>
                    <w:t>Ação preventiva</w:t>
                  </w:r>
                </w:p>
              </w:tc>
              <w:tc>
                <w:tcPr>
                  <w:tcW w:w="2150" w:type="dxa"/>
                  <w:shd w:val="clear" w:color="auto" w:fill="D9D9D9"/>
                  <w:vAlign w:val="center"/>
                </w:tcPr>
                <w:p w14:paraId="653986B6" w14:textId="77777777" w:rsidR="0023179C" w:rsidRDefault="00CD3728" w:rsidP="00143ECF">
                  <w:pPr>
                    <w:spacing w:after="0" w:line="240" w:lineRule="auto"/>
                    <w:jc w:val="center"/>
                  </w:pPr>
                  <w:r>
                    <w:rPr>
                      <w:rFonts w:ascii="Times New Roman" w:eastAsia="Times New Roman" w:hAnsi="Times New Roman"/>
                      <w:b/>
                      <w:bCs/>
                      <w:sz w:val="20"/>
                      <w:szCs w:val="20"/>
                    </w:rPr>
                    <w:t>Ação de contingência</w:t>
                  </w:r>
                </w:p>
              </w:tc>
              <w:tc>
                <w:tcPr>
                  <w:tcW w:w="1790" w:type="dxa"/>
                  <w:shd w:val="clear" w:color="auto" w:fill="D9D9D9"/>
                  <w:vAlign w:val="center"/>
                </w:tcPr>
                <w:p w14:paraId="6AF1ED59" w14:textId="77777777" w:rsidR="0023179C" w:rsidRDefault="00CD3728" w:rsidP="00143ECF">
                  <w:pPr>
                    <w:spacing w:after="0" w:line="240" w:lineRule="auto"/>
                    <w:jc w:val="center"/>
                  </w:pPr>
                  <w:r>
                    <w:rPr>
                      <w:rFonts w:ascii="Times New Roman" w:eastAsia="Times New Roman" w:hAnsi="Times New Roman"/>
                      <w:b/>
                      <w:bCs/>
                      <w:sz w:val="20"/>
                      <w:szCs w:val="20"/>
                    </w:rPr>
                    <w:t>Responsável</w:t>
                  </w:r>
                </w:p>
              </w:tc>
            </w:tr>
            <w:tr w:rsidR="0023179C" w14:paraId="07296116" w14:textId="77777777">
              <w:tc>
                <w:tcPr>
                  <w:tcW w:w="2100" w:type="dxa"/>
                  <w:vAlign w:val="center"/>
                </w:tcPr>
                <w:p w14:paraId="42C77380" w14:textId="77777777" w:rsidR="0023179C" w:rsidRDefault="00CD3728" w:rsidP="00143ECF">
                  <w:pPr>
                    <w:spacing w:after="0" w:line="240" w:lineRule="auto"/>
                  </w:pPr>
                  <w:r>
                    <w:rPr>
                      <w:rFonts w:ascii="Times New Roman" w:eastAsia="Times New Roman" w:hAnsi="Times New Roman"/>
                      <w:sz w:val="20"/>
                      <w:szCs w:val="20"/>
                    </w:rPr>
                    <w:t>01 – Licitação deserta ou fracassada</w:t>
                  </w:r>
                </w:p>
              </w:tc>
              <w:tc>
                <w:tcPr>
                  <w:tcW w:w="1100" w:type="dxa"/>
                  <w:vAlign w:val="center"/>
                </w:tcPr>
                <w:p w14:paraId="78A6CE36" w14:textId="77777777" w:rsidR="0023179C" w:rsidRDefault="00CD3728" w:rsidP="00143ECF">
                  <w:pPr>
                    <w:spacing w:after="0" w:line="240" w:lineRule="auto"/>
                    <w:jc w:val="center"/>
                  </w:pPr>
                  <w:r>
                    <w:rPr>
                      <w:rFonts w:ascii="Times New Roman" w:eastAsia="Times New Roman" w:hAnsi="Times New Roman"/>
                      <w:sz w:val="20"/>
                      <w:szCs w:val="20"/>
                    </w:rPr>
                    <w:t>Baixa / Médio</w:t>
                  </w:r>
                </w:p>
              </w:tc>
              <w:tc>
                <w:tcPr>
                  <w:tcW w:w="2100" w:type="dxa"/>
                  <w:vAlign w:val="center"/>
                </w:tcPr>
                <w:p w14:paraId="3241F038" w14:textId="77777777" w:rsidR="0023179C" w:rsidRDefault="00CD3728" w:rsidP="00143ECF">
                  <w:pPr>
                    <w:spacing w:after="0" w:line="240" w:lineRule="auto"/>
                  </w:pPr>
                  <w:r>
                    <w:rPr>
                      <w:rFonts w:ascii="Times New Roman" w:eastAsia="Times New Roman" w:hAnsi="Times New Roman"/>
                      <w:sz w:val="20"/>
                      <w:szCs w:val="20"/>
                    </w:rPr>
                    <w:t>Edital claro, pesquisa de preços adequada e exigências proporcionais</w:t>
                  </w:r>
                </w:p>
              </w:tc>
              <w:tc>
                <w:tcPr>
                  <w:tcW w:w="2150" w:type="dxa"/>
                  <w:vAlign w:val="center"/>
                </w:tcPr>
                <w:p w14:paraId="26A95EE6" w14:textId="77777777" w:rsidR="0023179C" w:rsidRDefault="00CD3728" w:rsidP="00143ECF">
                  <w:pPr>
                    <w:spacing w:after="0" w:line="240" w:lineRule="auto"/>
                  </w:pPr>
                  <w:r>
                    <w:rPr>
                      <w:rFonts w:ascii="Times New Roman" w:eastAsia="Times New Roman" w:hAnsi="Times New Roman"/>
                      <w:sz w:val="20"/>
                      <w:szCs w:val="20"/>
                    </w:rPr>
                    <w:t>Revisão do edital e republicação</w:t>
                  </w:r>
                </w:p>
              </w:tc>
              <w:tc>
                <w:tcPr>
                  <w:tcW w:w="1790" w:type="dxa"/>
                  <w:vAlign w:val="center"/>
                </w:tcPr>
                <w:p w14:paraId="4AAA6D21" w14:textId="77777777" w:rsidR="0023179C" w:rsidRDefault="00CD3728" w:rsidP="00143ECF">
                  <w:pPr>
                    <w:spacing w:after="0" w:line="240" w:lineRule="auto"/>
                  </w:pPr>
                  <w:r>
                    <w:rPr>
                      <w:rFonts w:ascii="Times New Roman" w:eastAsia="Times New Roman" w:hAnsi="Times New Roman"/>
                      <w:sz w:val="20"/>
                      <w:szCs w:val="20"/>
                    </w:rPr>
                    <w:t>Equipe de planejamento</w:t>
                  </w:r>
                </w:p>
              </w:tc>
            </w:tr>
            <w:tr w:rsidR="0023179C" w14:paraId="48E0993A" w14:textId="77777777">
              <w:tc>
                <w:tcPr>
                  <w:tcW w:w="2100" w:type="dxa"/>
                  <w:vAlign w:val="center"/>
                </w:tcPr>
                <w:p w14:paraId="597E3127" w14:textId="77777777" w:rsidR="0023179C" w:rsidRDefault="00CD3728" w:rsidP="00143ECF">
                  <w:pPr>
                    <w:spacing w:after="0" w:line="240" w:lineRule="auto"/>
                  </w:pPr>
                  <w:r>
                    <w:rPr>
                      <w:rFonts w:ascii="Times New Roman" w:eastAsia="Times New Roman" w:hAnsi="Times New Roman"/>
                      <w:sz w:val="20"/>
                      <w:szCs w:val="20"/>
                    </w:rPr>
                    <w:t>02 – Projetos com falhas técnicas</w:t>
                  </w:r>
                </w:p>
              </w:tc>
              <w:tc>
                <w:tcPr>
                  <w:tcW w:w="1100" w:type="dxa"/>
                  <w:vAlign w:val="center"/>
                </w:tcPr>
                <w:p w14:paraId="59308CCB"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3696299A" w14:textId="77777777" w:rsidR="0023179C" w:rsidRDefault="00CD3728" w:rsidP="00143ECF">
                  <w:pPr>
                    <w:spacing w:after="0" w:line="240" w:lineRule="auto"/>
                  </w:pPr>
                  <w:r>
                    <w:rPr>
                      <w:rFonts w:ascii="Times New Roman" w:eastAsia="Times New Roman" w:hAnsi="Times New Roman"/>
                      <w:sz w:val="20"/>
                      <w:szCs w:val="20"/>
                    </w:rPr>
                    <w:t>Qualificação técnica, escopo detalhado, validação por etapas</w:t>
                  </w:r>
                </w:p>
              </w:tc>
              <w:tc>
                <w:tcPr>
                  <w:tcW w:w="2150" w:type="dxa"/>
                  <w:vAlign w:val="center"/>
                </w:tcPr>
                <w:p w14:paraId="39C6DB54" w14:textId="77777777" w:rsidR="0023179C" w:rsidRDefault="00CD3728" w:rsidP="00143ECF">
                  <w:pPr>
                    <w:spacing w:after="0" w:line="240" w:lineRule="auto"/>
                  </w:pPr>
                  <w:r>
                    <w:rPr>
                      <w:rFonts w:ascii="Times New Roman" w:eastAsia="Times New Roman" w:hAnsi="Times New Roman"/>
                      <w:sz w:val="20"/>
                      <w:szCs w:val="20"/>
                    </w:rPr>
                    <w:t>Correção sem ônus e aplicação de sanções</w:t>
                  </w:r>
                </w:p>
              </w:tc>
              <w:tc>
                <w:tcPr>
                  <w:tcW w:w="1790" w:type="dxa"/>
                  <w:vAlign w:val="center"/>
                </w:tcPr>
                <w:p w14:paraId="1CD8EBF3" w14:textId="77777777" w:rsidR="0023179C" w:rsidRDefault="00CD3728" w:rsidP="00143ECF">
                  <w:pPr>
                    <w:spacing w:after="0" w:line="240" w:lineRule="auto"/>
                  </w:pPr>
                  <w:r>
                    <w:rPr>
                      <w:rFonts w:ascii="Times New Roman" w:eastAsia="Times New Roman" w:hAnsi="Times New Roman"/>
                      <w:sz w:val="20"/>
                      <w:szCs w:val="20"/>
                    </w:rPr>
                    <w:t>Fiscal / Setor de Engenharia</w:t>
                  </w:r>
                </w:p>
              </w:tc>
            </w:tr>
            <w:tr w:rsidR="0023179C" w14:paraId="017A91FE" w14:textId="77777777">
              <w:tc>
                <w:tcPr>
                  <w:tcW w:w="2100" w:type="dxa"/>
                  <w:vAlign w:val="center"/>
                </w:tcPr>
                <w:p w14:paraId="6B6318A4" w14:textId="77777777" w:rsidR="0023179C" w:rsidRDefault="00CD3728" w:rsidP="00143ECF">
                  <w:pPr>
                    <w:spacing w:after="0" w:line="240" w:lineRule="auto"/>
                  </w:pPr>
                  <w:r>
                    <w:rPr>
                      <w:rFonts w:ascii="Times New Roman" w:eastAsia="Times New Roman" w:hAnsi="Times New Roman"/>
                      <w:sz w:val="20"/>
                      <w:szCs w:val="20"/>
                    </w:rPr>
                    <w:t>03 – Atraso na entrega</w:t>
                  </w:r>
                </w:p>
              </w:tc>
              <w:tc>
                <w:tcPr>
                  <w:tcW w:w="1100" w:type="dxa"/>
                  <w:vAlign w:val="center"/>
                </w:tcPr>
                <w:p w14:paraId="53B52BDC" w14:textId="77777777" w:rsidR="0023179C" w:rsidRDefault="00CD3728" w:rsidP="00143ECF">
                  <w:pPr>
                    <w:spacing w:after="0" w:line="240" w:lineRule="auto"/>
                    <w:jc w:val="center"/>
                  </w:pPr>
                  <w:r>
                    <w:rPr>
                      <w:rFonts w:ascii="Times New Roman" w:eastAsia="Times New Roman" w:hAnsi="Times New Roman"/>
                      <w:sz w:val="20"/>
                      <w:szCs w:val="20"/>
                    </w:rPr>
                    <w:t>Média / Médio</w:t>
                  </w:r>
                </w:p>
              </w:tc>
              <w:tc>
                <w:tcPr>
                  <w:tcW w:w="2100" w:type="dxa"/>
                  <w:vAlign w:val="center"/>
                </w:tcPr>
                <w:p w14:paraId="6860807E" w14:textId="77777777" w:rsidR="0023179C" w:rsidRDefault="00CD3728" w:rsidP="00143ECF">
                  <w:pPr>
                    <w:spacing w:after="0" w:line="240" w:lineRule="auto"/>
                  </w:pPr>
                  <w:r>
                    <w:rPr>
                      <w:rFonts w:ascii="Times New Roman" w:eastAsia="Times New Roman" w:hAnsi="Times New Roman"/>
                      <w:sz w:val="20"/>
                      <w:szCs w:val="20"/>
                    </w:rPr>
                    <w:t>Cronograma por etapas e acompanhamento periódico</w:t>
                  </w:r>
                </w:p>
              </w:tc>
              <w:tc>
                <w:tcPr>
                  <w:tcW w:w="2150" w:type="dxa"/>
                  <w:vAlign w:val="center"/>
                </w:tcPr>
                <w:p w14:paraId="592E5F5A" w14:textId="77777777" w:rsidR="0023179C" w:rsidRDefault="00CD3728" w:rsidP="00143ECF">
                  <w:pPr>
                    <w:spacing w:after="0" w:line="240" w:lineRule="auto"/>
                  </w:pPr>
                  <w:r>
                    <w:rPr>
                      <w:rFonts w:ascii="Times New Roman" w:eastAsia="Times New Roman" w:hAnsi="Times New Roman"/>
                      <w:sz w:val="20"/>
                      <w:szCs w:val="20"/>
                    </w:rPr>
                    <w:t>Notificação, sanções e reprogramação justificada</w:t>
                  </w:r>
                </w:p>
              </w:tc>
              <w:tc>
                <w:tcPr>
                  <w:tcW w:w="1790" w:type="dxa"/>
                  <w:vAlign w:val="center"/>
                </w:tcPr>
                <w:p w14:paraId="630CEA04" w14:textId="77777777" w:rsidR="0023179C" w:rsidRDefault="00CD3728" w:rsidP="00143ECF">
                  <w:pPr>
                    <w:spacing w:after="0" w:line="240" w:lineRule="auto"/>
                  </w:pPr>
                  <w:r>
                    <w:rPr>
                      <w:rFonts w:ascii="Times New Roman" w:eastAsia="Times New Roman" w:hAnsi="Times New Roman"/>
                      <w:sz w:val="20"/>
                      <w:szCs w:val="20"/>
                    </w:rPr>
                    <w:t>Fiscal do contrato</w:t>
                  </w:r>
                </w:p>
              </w:tc>
            </w:tr>
            <w:tr w:rsidR="0023179C" w14:paraId="20B3D6C1" w14:textId="77777777">
              <w:tc>
                <w:tcPr>
                  <w:tcW w:w="2100" w:type="dxa"/>
                  <w:vAlign w:val="center"/>
                </w:tcPr>
                <w:p w14:paraId="563F7E63" w14:textId="77777777" w:rsidR="0023179C" w:rsidRDefault="00CD3728" w:rsidP="00143ECF">
                  <w:pPr>
                    <w:spacing w:after="0" w:line="240" w:lineRule="auto"/>
                  </w:pPr>
                  <w:r>
                    <w:rPr>
                      <w:rFonts w:ascii="Times New Roman" w:eastAsia="Times New Roman" w:hAnsi="Times New Roman"/>
                      <w:sz w:val="20"/>
                      <w:szCs w:val="20"/>
                    </w:rPr>
                    <w:t>04 – Orçamento inconsistente</w:t>
                  </w:r>
                </w:p>
              </w:tc>
              <w:tc>
                <w:tcPr>
                  <w:tcW w:w="1100" w:type="dxa"/>
                  <w:vAlign w:val="center"/>
                </w:tcPr>
                <w:p w14:paraId="5CE06FE2"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29312731" w14:textId="77777777" w:rsidR="0023179C" w:rsidRDefault="00CD3728" w:rsidP="00143ECF">
                  <w:pPr>
                    <w:spacing w:after="0" w:line="240" w:lineRule="auto"/>
                  </w:pPr>
                  <w:r>
                    <w:rPr>
                      <w:rFonts w:ascii="Times New Roman" w:eastAsia="Times New Roman" w:hAnsi="Times New Roman"/>
                      <w:sz w:val="20"/>
                      <w:szCs w:val="20"/>
                    </w:rPr>
                    <w:t>Uso do SINAPI, memória de cálculo e curva ABC</w:t>
                  </w:r>
                </w:p>
              </w:tc>
              <w:tc>
                <w:tcPr>
                  <w:tcW w:w="2150" w:type="dxa"/>
                  <w:vAlign w:val="center"/>
                </w:tcPr>
                <w:p w14:paraId="5DB94077" w14:textId="77777777" w:rsidR="0023179C" w:rsidRDefault="00CD3728" w:rsidP="00143ECF">
                  <w:pPr>
                    <w:spacing w:after="0" w:line="240" w:lineRule="auto"/>
                  </w:pPr>
                  <w:r>
                    <w:rPr>
                      <w:rFonts w:ascii="Times New Roman" w:eastAsia="Times New Roman" w:hAnsi="Times New Roman"/>
                      <w:sz w:val="20"/>
                      <w:szCs w:val="20"/>
                    </w:rPr>
                    <w:t>Revisão do orçamento antes da licitação da obra</w:t>
                  </w:r>
                </w:p>
              </w:tc>
              <w:tc>
                <w:tcPr>
                  <w:tcW w:w="1790" w:type="dxa"/>
                  <w:vAlign w:val="center"/>
                </w:tcPr>
                <w:p w14:paraId="26EB01E1" w14:textId="77777777" w:rsidR="0023179C" w:rsidRDefault="00CD3728" w:rsidP="00143ECF">
                  <w:pPr>
                    <w:spacing w:after="0" w:line="240" w:lineRule="auto"/>
                  </w:pPr>
                  <w:r>
                    <w:rPr>
                      <w:rFonts w:ascii="Times New Roman" w:eastAsia="Times New Roman" w:hAnsi="Times New Roman"/>
                      <w:sz w:val="20"/>
                      <w:szCs w:val="20"/>
                    </w:rPr>
                    <w:t>Setor de Engenharia</w:t>
                  </w:r>
                </w:p>
              </w:tc>
            </w:tr>
            <w:tr w:rsidR="0023179C" w14:paraId="0E5AE396" w14:textId="77777777">
              <w:tc>
                <w:tcPr>
                  <w:tcW w:w="2100" w:type="dxa"/>
                  <w:vAlign w:val="center"/>
                </w:tcPr>
                <w:p w14:paraId="2E425E91" w14:textId="77777777" w:rsidR="0023179C" w:rsidRDefault="00CD3728" w:rsidP="00143ECF">
                  <w:pPr>
                    <w:spacing w:after="0" w:line="240" w:lineRule="auto"/>
                  </w:pPr>
                  <w:r>
                    <w:rPr>
                      <w:rFonts w:ascii="Times New Roman" w:eastAsia="Times New Roman" w:hAnsi="Times New Roman"/>
                      <w:sz w:val="20"/>
                      <w:szCs w:val="20"/>
                    </w:rPr>
                    <w:t>05 – Não aprovação nos órgãos (CBMSC, Município, órgão rodoviário)</w:t>
                  </w:r>
                </w:p>
              </w:tc>
              <w:tc>
                <w:tcPr>
                  <w:tcW w:w="1100" w:type="dxa"/>
                  <w:vAlign w:val="center"/>
                </w:tcPr>
                <w:p w14:paraId="433299D9"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0744E404" w14:textId="77777777" w:rsidR="0023179C" w:rsidRDefault="00CD3728" w:rsidP="00143ECF">
                  <w:pPr>
                    <w:spacing w:after="0" w:line="240" w:lineRule="auto"/>
                  </w:pPr>
                  <w:r>
                    <w:rPr>
                      <w:rFonts w:ascii="Times New Roman" w:eastAsia="Times New Roman" w:hAnsi="Times New Roman"/>
                      <w:sz w:val="20"/>
                      <w:szCs w:val="20"/>
                    </w:rPr>
                    <w:t>Observância das normas e consultas prévias</w:t>
                  </w:r>
                </w:p>
              </w:tc>
              <w:tc>
                <w:tcPr>
                  <w:tcW w:w="2150" w:type="dxa"/>
                  <w:vAlign w:val="center"/>
                </w:tcPr>
                <w:p w14:paraId="78EC1A2F" w14:textId="77777777" w:rsidR="0023179C" w:rsidRDefault="00CD3728" w:rsidP="00143ECF">
                  <w:pPr>
                    <w:spacing w:after="0" w:line="240" w:lineRule="auto"/>
                  </w:pPr>
                  <w:r>
                    <w:rPr>
                      <w:rFonts w:ascii="Times New Roman" w:eastAsia="Times New Roman" w:hAnsi="Times New Roman"/>
                      <w:sz w:val="20"/>
                      <w:szCs w:val="20"/>
                    </w:rPr>
                    <w:t>Adequação e reapresentação sem ônus</w:t>
                  </w:r>
                </w:p>
              </w:tc>
              <w:tc>
                <w:tcPr>
                  <w:tcW w:w="1790" w:type="dxa"/>
                  <w:vAlign w:val="center"/>
                </w:tcPr>
                <w:p w14:paraId="14B567C6" w14:textId="77777777" w:rsidR="0023179C" w:rsidRDefault="00CD3728" w:rsidP="00143ECF">
                  <w:pPr>
                    <w:spacing w:after="0" w:line="240" w:lineRule="auto"/>
                  </w:pPr>
                  <w:r>
                    <w:rPr>
                      <w:rFonts w:ascii="Times New Roman" w:eastAsia="Times New Roman" w:hAnsi="Times New Roman"/>
                      <w:sz w:val="20"/>
                      <w:szCs w:val="20"/>
                    </w:rPr>
                    <w:t>Contratada / Setor de Engenharia</w:t>
                  </w:r>
                </w:p>
              </w:tc>
            </w:tr>
            <w:tr w:rsidR="0023179C" w14:paraId="6A69804C" w14:textId="77777777">
              <w:tc>
                <w:tcPr>
                  <w:tcW w:w="2100" w:type="dxa"/>
                  <w:vAlign w:val="center"/>
                </w:tcPr>
                <w:p w14:paraId="4FD99E00" w14:textId="77777777" w:rsidR="0023179C" w:rsidRDefault="00CD3728" w:rsidP="00143ECF">
                  <w:pPr>
                    <w:spacing w:after="0" w:line="240" w:lineRule="auto"/>
                  </w:pPr>
                  <w:r>
                    <w:rPr>
                      <w:rFonts w:ascii="Times New Roman" w:eastAsia="Times New Roman" w:hAnsi="Times New Roman"/>
                      <w:sz w:val="20"/>
                      <w:szCs w:val="20"/>
                    </w:rPr>
                    <w:t>06 – Incompatibilidade entre disciplinas</w:t>
                  </w:r>
                </w:p>
              </w:tc>
              <w:tc>
                <w:tcPr>
                  <w:tcW w:w="1100" w:type="dxa"/>
                  <w:vAlign w:val="center"/>
                </w:tcPr>
                <w:p w14:paraId="6A8F3BCA"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13F5B3C4" w14:textId="77777777" w:rsidR="0023179C" w:rsidRDefault="00CD3728" w:rsidP="00143ECF">
                  <w:pPr>
                    <w:spacing w:after="0" w:line="240" w:lineRule="auto"/>
                  </w:pPr>
                  <w:r>
                    <w:rPr>
                      <w:rFonts w:ascii="Times New Roman" w:eastAsia="Times New Roman" w:hAnsi="Times New Roman"/>
                      <w:sz w:val="20"/>
                      <w:szCs w:val="20"/>
                    </w:rPr>
                    <w:t>Relatório de compatibilização obrigatório</w:t>
                  </w:r>
                </w:p>
              </w:tc>
              <w:tc>
                <w:tcPr>
                  <w:tcW w:w="2150" w:type="dxa"/>
                  <w:vAlign w:val="center"/>
                </w:tcPr>
                <w:p w14:paraId="53FE1196" w14:textId="77777777" w:rsidR="0023179C" w:rsidRDefault="00CD3728" w:rsidP="00143ECF">
                  <w:pPr>
                    <w:spacing w:after="0" w:line="240" w:lineRule="auto"/>
                  </w:pPr>
                  <w:r>
                    <w:rPr>
                      <w:rFonts w:ascii="Times New Roman" w:eastAsia="Times New Roman" w:hAnsi="Times New Roman"/>
                      <w:sz w:val="20"/>
                      <w:szCs w:val="20"/>
                    </w:rPr>
                    <w:t>Revisão e reapresentação sem ônus</w:t>
                  </w:r>
                </w:p>
              </w:tc>
              <w:tc>
                <w:tcPr>
                  <w:tcW w:w="1790" w:type="dxa"/>
                  <w:vAlign w:val="center"/>
                </w:tcPr>
                <w:p w14:paraId="54F587D9" w14:textId="77777777" w:rsidR="0023179C" w:rsidRDefault="00CD3728" w:rsidP="00143ECF">
                  <w:pPr>
                    <w:spacing w:after="0" w:line="240" w:lineRule="auto"/>
                  </w:pPr>
                  <w:r>
                    <w:rPr>
                      <w:rFonts w:ascii="Times New Roman" w:eastAsia="Times New Roman" w:hAnsi="Times New Roman"/>
                      <w:sz w:val="20"/>
                      <w:szCs w:val="20"/>
                    </w:rPr>
                    <w:t>Contratada / Fiscal</w:t>
                  </w:r>
                </w:p>
              </w:tc>
            </w:tr>
            <w:tr w:rsidR="0023179C" w14:paraId="6430E0F7" w14:textId="77777777">
              <w:tc>
                <w:tcPr>
                  <w:tcW w:w="2100" w:type="dxa"/>
                  <w:vAlign w:val="center"/>
                </w:tcPr>
                <w:p w14:paraId="6C6BD619" w14:textId="77777777" w:rsidR="0023179C" w:rsidRDefault="00CD3728" w:rsidP="00143ECF">
                  <w:pPr>
                    <w:spacing w:after="0" w:line="240" w:lineRule="auto"/>
                  </w:pPr>
                  <w:r>
                    <w:rPr>
                      <w:rFonts w:ascii="Times New Roman" w:eastAsia="Times New Roman" w:hAnsi="Times New Roman"/>
                      <w:sz w:val="20"/>
                      <w:szCs w:val="20"/>
                    </w:rPr>
                    <w:t>07 – Informações insuficientes da Administração</w:t>
                  </w:r>
                </w:p>
              </w:tc>
              <w:tc>
                <w:tcPr>
                  <w:tcW w:w="1100" w:type="dxa"/>
                  <w:vAlign w:val="center"/>
                </w:tcPr>
                <w:p w14:paraId="00016BE8" w14:textId="77777777" w:rsidR="0023179C" w:rsidRDefault="00CD3728" w:rsidP="00143ECF">
                  <w:pPr>
                    <w:spacing w:after="0" w:line="240" w:lineRule="auto"/>
                    <w:jc w:val="center"/>
                  </w:pPr>
                  <w:r>
                    <w:rPr>
                      <w:rFonts w:ascii="Times New Roman" w:eastAsia="Times New Roman" w:hAnsi="Times New Roman"/>
                      <w:sz w:val="20"/>
                      <w:szCs w:val="20"/>
                    </w:rPr>
                    <w:t>Média / Médio</w:t>
                  </w:r>
                </w:p>
              </w:tc>
              <w:tc>
                <w:tcPr>
                  <w:tcW w:w="2100" w:type="dxa"/>
                  <w:vAlign w:val="center"/>
                </w:tcPr>
                <w:p w14:paraId="51954945" w14:textId="77777777" w:rsidR="0023179C" w:rsidRDefault="00CD3728" w:rsidP="00143ECF">
                  <w:pPr>
                    <w:spacing w:after="0" w:line="240" w:lineRule="auto"/>
                  </w:pPr>
                  <w:r>
                    <w:rPr>
                      <w:rFonts w:ascii="Times New Roman" w:eastAsia="Times New Roman" w:hAnsi="Times New Roman"/>
                      <w:sz w:val="20"/>
                      <w:szCs w:val="20"/>
                    </w:rPr>
                    <w:t>Entrega prévia de documentos e programa validado</w:t>
                  </w:r>
                </w:p>
              </w:tc>
              <w:tc>
                <w:tcPr>
                  <w:tcW w:w="2150" w:type="dxa"/>
                  <w:vAlign w:val="center"/>
                </w:tcPr>
                <w:p w14:paraId="6728B96D" w14:textId="77777777" w:rsidR="0023179C" w:rsidRDefault="00CD3728" w:rsidP="00143ECF">
                  <w:pPr>
                    <w:spacing w:after="0" w:line="240" w:lineRule="auto"/>
                  </w:pPr>
                  <w:r>
                    <w:rPr>
                      <w:rFonts w:ascii="Times New Roman" w:eastAsia="Times New Roman" w:hAnsi="Times New Roman"/>
                      <w:sz w:val="20"/>
                      <w:szCs w:val="20"/>
                    </w:rPr>
                    <w:t>Complementação e readequação do cronograma</w:t>
                  </w:r>
                </w:p>
              </w:tc>
              <w:tc>
                <w:tcPr>
                  <w:tcW w:w="1790" w:type="dxa"/>
                  <w:vAlign w:val="center"/>
                </w:tcPr>
                <w:p w14:paraId="205E7EBD" w14:textId="77777777" w:rsidR="0023179C" w:rsidRDefault="00CD3728" w:rsidP="00143ECF">
                  <w:pPr>
                    <w:spacing w:after="0" w:line="240" w:lineRule="auto"/>
                  </w:pPr>
                  <w:r>
                    <w:rPr>
                      <w:rFonts w:ascii="Times New Roman" w:eastAsia="Times New Roman" w:hAnsi="Times New Roman"/>
                      <w:sz w:val="20"/>
                      <w:szCs w:val="20"/>
                    </w:rPr>
                    <w:t>Secretaria demandante</w:t>
                  </w:r>
                </w:p>
              </w:tc>
            </w:tr>
            <w:tr w:rsidR="0023179C" w14:paraId="352B129B" w14:textId="77777777">
              <w:tc>
                <w:tcPr>
                  <w:tcW w:w="2100" w:type="dxa"/>
                  <w:vAlign w:val="center"/>
                </w:tcPr>
                <w:p w14:paraId="4233486F" w14:textId="77777777" w:rsidR="0023179C" w:rsidRDefault="00CD3728" w:rsidP="00143ECF">
                  <w:pPr>
                    <w:spacing w:after="0" w:line="240" w:lineRule="auto"/>
                  </w:pPr>
                  <w:r>
                    <w:rPr>
                      <w:rFonts w:ascii="Times New Roman" w:eastAsia="Times New Roman" w:hAnsi="Times New Roman"/>
                      <w:sz w:val="20"/>
                      <w:szCs w:val="20"/>
                    </w:rPr>
                    <w:t>08 – Condições adversas do solo ou do lençol freático para o subsolo</w:t>
                  </w:r>
                </w:p>
              </w:tc>
              <w:tc>
                <w:tcPr>
                  <w:tcW w:w="1100" w:type="dxa"/>
                  <w:vAlign w:val="center"/>
                </w:tcPr>
                <w:p w14:paraId="446EA8F5"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6454A8A7" w14:textId="77777777" w:rsidR="0023179C" w:rsidRDefault="00CD3728" w:rsidP="00143ECF">
                  <w:pPr>
                    <w:spacing w:after="0" w:line="240" w:lineRule="auto"/>
                  </w:pPr>
                  <w:r>
                    <w:rPr>
                      <w:rFonts w:ascii="Times New Roman" w:eastAsia="Times New Roman" w:hAnsi="Times New Roman"/>
                      <w:sz w:val="20"/>
                      <w:szCs w:val="20"/>
                    </w:rPr>
                    <w:t>Sondagem com nível d'água antes da definição das fundações e contenções</w:t>
                  </w:r>
                </w:p>
              </w:tc>
              <w:tc>
                <w:tcPr>
                  <w:tcW w:w="2150" w:type="dxa"/>
                  <w:vAlign w:val="center"/>
                </w:tcPr>
                <w:p w14:paraId="1ED6ECDB" w14:textId="77777777" w:rsidR="0023179C" w:rsidRDefault="00CD3728" w:rsidP="00143ECF">
                  <w:pPr>
                    <w:spacing w:after="0" w:line="240" w:lineRule="auto"/>
                  </w:pPr>
                  <w:r>
                    <w:rPr>
                      <w:rFonts w:ascii="Times New Roman" w:eastAsia="Times New Roman" w:hAnsi="Times New Roman"/>
                      <w:sz w:val="20"/>
                      <w:szCs w:val="20"/>
                    </w:rPr>
                    <w:t>Revisão da implantação ou da solução de subsolo no estudo preliminar</w:t>
                  </w:r>
                </w:p>
              </w:tc>
              <w:tc>
                <w:tcPr>
                  <w:tcW w:w="1790" w:type="dxa"/>
                  <w:vAlign w:val="center"/>
                </w:tcPr>
                <w:p w14:paraId="36494D66" w14:textId="77777777" w:rsidR="0023179C" w:rsidRDefault="00CD3728" w:rsidP="00143ECF">
                  <w:pPr>
                    <w:spacing w:after="0" w:line="240" w:lineRule="auto"/>
                  </w:pPr>
                  <w:r>
                    <w:rPr>
                      <w:rFonts w:ascii="Times New Roman" w:eastAsia="Times New Roman" w:hAnsi="Times New Roman"/>
                      <w:sz w:val="20"/>
                      <w:szCs w:val="20"/>
                    </w:rPr>
                    <w:t>Contratada / Setor de Engenharia</w:t>
                  </w:r>
                </w:p>
              </w:tc>
            </w:tr>
            <w:tr w:rsidR="0023179C" w14:paraId="3F9EBE75" w14:textId="77777777">
              <w:tc>
                <w:tcPr>
                  <w:tcW w:w="2100" w:type="dxa"/>
                  <w:vAlign w:val="center"/>
                </w:tcPr>
                <w:p w14:paraId="507581E6" w14:textId="77777777" w:rsidR="0023179C" w:rsidRDefault="00CD3728" w:rsidP="00143ECF">
                  <w:pPr>
                    <w:spacing w:after="0" w:line="240" w:lineRule="auto"/>
                  </w:pPr>
                  <w:r>
                    <w:rPr>
                      <w:rFonts w:ascii="Times New Roman" w:eastAsia="Times New Roman" w:hAnsi="Times New Roman"/>
                      <w:sz w:val="20"/>
                      <w:szCs w:val="20"/>
                    </w:rPr>
                    <w:t>09 – Negativa ou demora na autorização do acesso rodoviário</w:t>
                  </w:r>
                </w:p>
              </w:tc>
              <w:tc>
                <w:tcPr>
                  <w:tcW w:w="1100" w:type="dxa"/>
                  <w:vAlign w:val="center"/>
                </w:tcPr>
                <w:p w14:paraId="47053A3B" w14:textId="77777777" w:rsidR="0023179C" w:rsidRDefault="00CD3728" w:rsidP="00143ECF">
                  <w:pPr>
                    <w:spacing w:after="0" w:line="240" w:lineRule="auto"/>
                    <w:jc w:val="center"/>
                  </w:pPr>
                  <w:r>
                    <w:rPr>
                      <w:rFonts w:ascii="Times New Roman" w:eastAsia="Times New Roman" w:hAnsi="Times New Roman"/>
                      <w:sz w:val="20"/>
                      <w:szCs w:val="20"/>
                    </w:rPr>
                    <w:t>Média / Alto</w:t>
                  </w:r>
                </w:p>
              </w:tc>
              <w:tc>
                <w:tcPr>
                  <w:tcW w:w="2100" w:type="dxa"/>
                  <w:vAlign w:val="center"/>
                </w:tcPr>
                <w:p w14:paraId="2E97D5EE" w14:textId="77777777" w:rsidR="0023179C" w:rsidRDefault="00CD3728" w:rsidP="00143ECF">
                  <w:pPr>
                    <w:spacing w:after="0" w:line="240" w:lineRule="auto"/>
                  </w:pPr>
                  <w:r>
                    <w:rPr>
                      <w:rFonts w:ascii="Times New Roman" w:eastAsia="Times New Roman" w:hAnsi="Times New Roman"/>
                      <w:sz w:val="20"/>
                      <w:szCs w:val="20"/>
                    </w:rPr>
                    <w:t>Consulta prévia ao órgão com circunscrição sobre a via</w:t>
                  </w:r>
                </w:p>
              </w:tc>
              <w:tc>
                <w:tcPr>
                  <w:tcW w:w="2150" w:type="dxa"/>
                  <w:vAlign w:val="center"/>
                </w:tcPr>
                <w:p w14:paraId="11F6E5E7" w14:textId="77777777" w:rsidR="0023179C" w:rsidRDefault="00CD3728" w:rsidP="00143ECF">
                  <w:pPr>
                    <w:spacing w:after="0" w:line="240" w:lineRule="auto"/>
                  </w:pPr>
                  <w:r>
                    <w:rPr>
                      <w:rFonts w:ascii="Times New Roman" w:eastAsia="Times New Roman" w:hAnsi="Times New Roman"/>
                      <w:sz w:val="20"/>
                      <w:szCs w:val="20"/>
                    </w:rPr>
                    <w:t>Alternativa de acesso por via secundária, se houver</w:t>
                  </w:r>
                </w:p>
              </w:tc>
              <w:tc>
                <w:tcPr>
                  <w:tcW w:w="1790" w:type="dxa"/>
                  <w:vAlign w:val="center"/>
                </w:tcPr>
                <w:p w14:paraId="47DE8B9C" w14:textId="77777777" w:rsidR="0023179C" w:rsidRDefault="00CD3728" w:rsidP="00143ECF">
                  <w:pPr>
                    <w:spacing w:after="0" w:line="240" w:lineRule="auto"/>
                  </w:pPr>
                  <w:r>
                    <w:rPr>
                      <w:rFonts w:ascii="Times New Roman" w:eastAsia="Times New Roman" w:hAnsi="Times New Roman"/>
                      <w:sz w:val="20"/>
                      <w:szCs w:val="20"/>
                    </w:rPr>
                    <w:t>Contratada / Secretaria demandante</w:t>
                  </w:r>
                </w:p>
              </w:tc>
            </w:tr>
            <w:tr w:rsidR="0023179C" w14:paraId="5979001A" w14:textId="77777777">
              <w:tc>
                <w:tcPr>
                  <w:tcW w:w="2100" w:type="dxa"/>
                  <w:vAlign w:val="center"/>
                </w:tcPr>
                <w:p w14:paraId="47FD5FBA" w14:textId="77777777" w:rsidR="0023179C" w:rsidRDefault="00CD3728" w:rsidP="00143ECF">
                  <w:pPr>
                    <w:spacing w:after="0" w:line="240" w:lineRule="auto"/>
                  </w:pPr>
                  <w:r>
                    <w:rPr>
                      <w:rFonts w:ascii="Times New Roman" w:eastAsia="Times New Roman" w:hAnsi="Times New Roman"/>
                      <w:sz w:val="20"/>
                      <w:szCs w:val="20"/>
                    </w:rPr>
                    <w:t>10 – Alteração do programa de necessidades durante a execução</w:t>
                  </w:r>
                </w:p>
              </w:tc>
              <w:tc>
                <w:tcPr>
                  <w:tcW w:w="1100" w:type="dxa"/>
                  <w:vAlign w:val="center"/>
                </w:tcPr>
                <w:p w14:paraId="5E4E3883" w14:textId="77777777" w:rsidR="0023179C" w:rsidRDefault="00CD3728" w:rsidP="00143ECF">
                  <w:pPr>
                    <w:spacing w:after="0" w:line="240" w:lineRule="auto"/>
                    <w:jc w:val="center"/>
                  </w:pPr>
                  <w:r>
                    <w:rPr>
                      <w:rFonts w:ascii="Times New Roman" w:eastAsia="Times New Roman" w:hAnsi="Times New Roman"/>
                      <w:sz w:val="20"/>
                      <w:szCs w:val="20"/>
                    </w:rPr>
                    <w:t>Média / Médio</w:t>
                  </w:r>
                </w:p>
              </w:tc>
              <w:tc>
                <w:tcPr>
                  <w:tcW w:w="2100" w:type="dxa"/>
                  <w:vAlign w:val="center"/>
                </w:tcPr>
                <w:p w14:paraId="79DAE08A" w14:textId="77777777" w:rsidR="0023179C" w:rsidRDefault="00CD3728" w:rsidP="00143ECF">
                  <w:pPr>
                    <w:spacing w:after="0" w:line="240" w:lineRule="auto"/>
                  </w:pPr>
                  <w:r>
                    <w:rPr>
                      <w:rFonts w:ascii="Times New Roman" w:eastAsia="Times New Roman" w:hAnsi="Times New Roman"/>
                      <w:sz w:val="20"/>
                      <w:szCs w:val="20"/>
                    </w:rPr>
                    <w:t>Validação formal do programa na etapa 1, com ata</w:t>
                  </w:r>
                </w:p>
              </w:tc>
              <w:tc>
                <w:tcPr>
                  <w:tcW w:w="2150" w:type="dxa"/>
                  <w:vAlign w:val="center"/>
                </w:tcPr>
                <w:p w14:paraId="5CE4FE00" w14:textId="77777777" w:rsidR="0023179C" w:rsidRDefault="00CD3728" w:rsidP="00143ECF">
                  <w:pPr>
                    <w:spacing w:after="0" w:line="240" w:lineRule="auto"/>
                  </w:pPr>
                  <w:r>
                    <w:rPr>
                      <w:rFonts w:ascii="Times New Roman" w:eastAsia="Times New Roman" w:hAnsi="Times New Roman"/>
                      <w:sz w:val="20"/>
                      <w:szCs w:val="20"/>
                    </w:rPr>
                    <w:t>Avaliação de impacto e eventual termo aditivo</w:t>
                  </w:r>
                </w:p>
              </w:tc>
              <w:tc>
                <w:tcPr>
                  <w:tcW w:w="1790" w:type="dxa"/>
                  <w:vAlign w:val="center"/>
                </w:tcPr>
                <w:p w14:paraId="57F1272E" w14:textId="77777777" w:rsidR="0023179C" w:rsidRDefault="00CD3728" w:rsidP="00143ECF">
                  <w:pPr>
                    <w:spacing w:after="0" w:line="240" w:lineRule="auto"/>
                  </w:pPr>
                  <w:r>
                    <w:rPr>
                      <w:rFonts w:ascii="Times New Roman" w:eastAsia="Times New Roman" w:hAnsi="Times New Roman"/>
                      <w:sz w:val="20"/>
                      <w:szCs w:val="20"/>
                    </w:rPr>
                    <w:t>Gestor do contrato</w:t>
                  </w:r>
                </w:p>
              </w:tc>
            </w:tr>
          </w:tbl>
          <w:p w14:paraId="042E86AD" w14:textId="77777777" w:rsidR="0023179C" w:rsidRDefault="0023179C" w:rsidP="00143ECF">
            <w:pPr>
              <w:spacing w:after="0" w:line="240" w:lineRule="auto"/>
              <w:jc w:val="both"/>
            </w:pPr>
          </w:p>
        </w:tc>
      </w:tr>
      <w:tr w:rsidR="0023179C" w14:paraId="63039384" w14:textId="77777777">
        <w:tc>
          <w:tcPr>
            <w:tcW w:w="822" w:type="dxa"/>
            <w:tcBorders>
              <w:top w:val="single" w:sz="4" w:space="0" w:color="000000"/>
              <w:left w:val="single" w:sz="4" w:space="0" w:color="000000"/>
              <w:bottom w:val="single" w:sz="4" w:space="0" w:color="000000"/>
              <w:right w:val="single" w:sz="4" w:space="0" w:color="000000"/>
            </w:tcBorders>
          </w:tcPr>
          <w:p w14:paraId="4D3FEFE1" w14:textId="77777777" w:rsidR="0023179C" w:rsidRDefault="00CD3728" w:rsidP="00143ECF">
            <w:pPr>
              <w:spacing w:after="0" w:line="240" w:lineRule="auto"/>
              <w:jc w:val="center"/>
            </w:pPr>
            <w:r>
              <w:rPr>
                <w:rFonts w:ascii="Times New Roman" w:eastAsia="Times New Roman" w:hAnsi="Times New Roman"/>
                <w:b/>
                <w:bCs/>
              </w:rPr>
              <w:t>14.</w:t>
            </w:r>
          </w:p>
        </w:tc>
        <w:tc>
          <w:tcPr>
            <w:tcW w:w="9640" w:type="dxa"/>
            <w:tcBorders>
              <w:top w:val="single" w:sz="4" w:space="0" w:color="000000"/>
              <w:left w:val="single" w:sz="4" w:space="0" w:color="000000"/>
              <w:bottom w:val="single" w:sz="4" w:space="0" w:color="000000"/>
              <w:right w:val="single" w:sz="4" w:space="0" w:color="000000"/>
            </w:tcBorders>
          </w:tcPr>
          <w:p w14:paraId="28E26361" w14:textId="77777777" w:rsidR="0023179C" w:rsidRDefault="00CD3728" w:rsidP="00143ECF">
            <w:pPr>
              <w:spacing w:after="0" w:line="240" w:lineRule="auto"/>
              <w:jc w:val="both"/>
            </w:pPr>
            <w:r>
              <w:rPr>
                <w:rFonts w:ascii="Times New Roman" w:eastAsia="Times New Roman" w:hAnsi="Times New Roman"/>
                <w:b/>
                <w:bCs/>
              </w:rPr>
              <w:t>Posicionamento conclusivo sobre a adequação e a viabilidade da contratação para o atendimento da necessidade a que se destina.</w:t>
            </w:r>
          </w:p>
          <w:p w14:paraId="100B5583" w14:textId="77777777" w:rsidR="0023179C" w:rsidRDefault="00CD3728" w:rsidP="00143ECF">
            <w:pPr>
              <w:spacing w:after="0" w:line="240" w:lineRule="auto"/>
              <w:jc w:val="both"/>
            </w:pPr>
            <w:r>
              <w:rPr>
                <w:rFonts w:ascii="Times New Roman" w:eastAsia="Times New Roman" w:hAnsi="Times New Roman"/>
              </w:rPr>
              <w:t>Após a análise da necessidade, das alternativas disponíveis, do levantamento de mercado, da estimativa de custos e dos riscos identificados, conclui-se que a contratação é necessária, adequada e viável para o atendimento do interesse público.</w:t>
            </w:r>
          </w:p>
          <w:p w14:paraId="1DDC2AD4" w14:textId="77777777" w:rsidR="0023179C" w:rsidRDefault="00CD3728" w:rsidP="00143ECF">
            <w:pPr>
              <w:spacing w:after="0" w:line="240" w:lineRule="auto"/>
              <w:jc w:val="both"/>
            </w:pPr>
            <w:r>
              <w:rPr>
                <w:rFonts w:ascii="Times New Roman" w:eastAsia="Times New Roman" w:hAnsi="Times New Roman"/>
              </w:rPr>
              <w:t>A viabilidade técnica decorre da existência de solução de mercado apta a entregar, com responsabilidade técnica formal, o conjunto integrado de estudos e projetos necessários à obra. A viabilidade econômica está demonstrada pela pesquisa de preços realizada, que resultou no valor estimado de R$ 17.250,00 (dezessete mil, duzentos e cinquenta reais), compatível com os valores praticados para serviços semelhantes. Os riscos identificados são gerenciáveis mediante as medidas previstas neste Estudo.</w:t>
            </w:r>
          </w:p>
          <w:p w14:paraId="6A12819F" w14:textId="1FD3E42B" w:rsidR="0023179C" w:rsidRDefault="00CD3728" w:rsidP="00143ECF">
            <w:pPr>
              <w:spacing w:after="0" w:line="240" w:lineRule="auto"/>
              <w:jc w:val="both"/>
            </w:pPr>
            <w:r>
              <w:rPr>
                <w:rFonts w:ascii="Times New Roman" w:eastAsia="Times New Roman" w:hAnsi="Times New Roman"/>
              </w:rPr>
              <w:t>Recomenda-se, assim, o prosseguimento da fase preparatória, com a elaboração do Termo de Referência e a realização do procedimento licitatório, em conformidade com os princípios do planejamento, eficiência, economicidade e interesse público previstos na Lei nº 14.133/2021.</w:t>
            </w:r>
          </w:p>
        </w:tc>
      </w:tr>
    </w:tbl>
    <w:p w14:paraId="5664A932" w14:textId="0C206B25" w:rsidR="0023179C" w:rsidRDefault="00CD3728" w:rsidP="00143ECF">
      <w:pPr>
        <w:spacing w:after="0" w:line="240" w:lineRule="auto"/>
        <w:jc w:val="right"/>
        <w:rPr>
          <w:rFonts w:ascii="Times New Roman" w:eastAsia="Times New Roman" w:hAnsi="Times New Roman"/>
        </w:rPr>
      </w:pPr>
      <w:r>
        <w:rPr>
          <w:rFonts w:ascii="Times New Roman" w:eastAsia="Times New Roman" w:hAnsi="Times New Roman"/>
        </w:rPr>
        <w:t xml:space="preserve">Palmitos/SC, </w:t>
      </w:r>
      <w:r w:rsidR="0029540E">
        <w:rPr>
          <w:rFonts w:ascii="Times New Roman" w:eastAsia="Times New Roman" w:hAnsi="Times New Roman"/>
        </w:rPr>
        <w:t>2</w:t>
      </w:r>
      <w:r w:rsidR="008A2972">
        <w:rPr>
          <w:rFonts w:ascii="Times New Roman" w:eastAsia="Times New Roman" w:hAnsi="Times New Roman"/>
        </w:rPr>
        <w:t>8</w:t>
      </w:r>
      <w:r>
        <w:rPr>
          <w:rFonts w:ascii="Times New Roman" w:eastAsia="Times New Roman" w:hAnsi="Times New Roman"/>
        </w:rPr>
        <w:t xml:space="preserve"> de </w:t>
      </w:r>
      <w:r w:rsidR="0029540E">
        <w:rPr>
          <w:rFonts w:ascii="Times New Roman" w:eastAsia="Times New Roman" w:hAnsi="Times New Roman"/>
        </w:rPr>
        <w:t>setembro</w:t>
      </w:r>
      <w:r>
        <w:rPr>
          <w:rFonts w:ascii="Times New Roman" w:eastAsia="Times New Roman" w:hAnsi="Times New Roman"/>
        </w:rPr>
        <w:t xml:space="preserve"> de 2026.</w:t>
      </w:r>
    </w:p>
    <w:p w14:paraId="41AA3029" w14:textId="77777777" w:rsidR="0029540E" w:rsidRDefault="0029540E" w:rsidP="00143ECF">
      <w:pPr>
        <w:spacing w:after="0" w:line="240" w:lineRule="auto"/>
        <w:jc w:val="right"/>
        <w:rPr>
          <w:rFonts w:ascii="Times New Roman" w:eastAsia="Times New Roman" w:hAnsi="Times New Roman"/>
        </w:rPr>
      </w:pPr>
    </w:p>
    <w:p w14:paraId="43A298B3" w14:textId="77777777" w:rsidR="0029540E" w:rsidRDefault="0029540E" w:rsidP="00143ECF">
      <w:pPr>
        <w:spacing w:after="0" w:line="240" w:lineRule="auto"/>
        <w:jc w:val="right"/>
      </w:pPr>
    </w:p>
    <w:p w14:paraId="6EBBD7E6" w14:textId="77777777" w:rsidR="0023179C" w:rsidRDefault="00CD3728" w:rsidP="00143ECF">
      <w:pPr>
        <w:spacing w:after="0" w:line="240" w:lineRule="auto"/>
        <w:jc w:val="center"/>
      </w:pPr>
      <w:r>
        <w:rPr>
          <w:rFonts w:ascii="Times New Roman" w:eastAsia="Times New Roman" w:hAnsi="Times New Roman"/>
        </w:rPr>
        <w:t>____________________________________</w:t>
      </w:r>
    </w:p>
    <w:p w14:paraId="02DB53E5" w14:textId="1C22B7A3" w:rsidR="00263D17" w:rsidRDefault="00263D17" w:rsidP="00143ECF">
      <w:pPr>
        <w:spacing w:after="0" w:line="240" w:lineRule="auto"/>
        <w:jc w:val="center"/>
        <w:rPr>
          <w:rFonts w:ascii="Times New Roman" w:eastAsia="Times New Roman" w:hAnsi="Times New Roman"/>
        </w:rPr>
      </w:pPr>
      <w:r>
        <w:rPr>
          <w:rFonts w:ascii="Times New Roman" w:eastAsia="Times New Roman" w:hAnsi="Times New Roman"/>
        </w:rPr>
        <w:t>ANGÉLICA CHINI</w:t>
      </w:r>
    </w:p>
    <w:p w14:paraId="3756929C" w14:textId="55358FD2" w:rsidR="0023179C" w:rsidRDefault="003E5D9E" w:rsidP="00143ECF">
      <w:pPr>
        <w:spacing w:after="0" w:line="240" w:lineRule="auto"/>
        <w:jc w:val="center"/>
      </w:pPr>
      <w:r>
        <w:rPr>
          <w:rFonts w:ascii="Times New Roman" w:eastAsia="Times New Roman" w:hAnsi="Times New Roman"/>
        </w:rPr>
        <w:t>SECRETÁRIA</w:t>
      </w:r>
      <w:r w:rsidR="00CD3728">
        <w:rPr>
          <w:rFonts w:ascii="Times New Roman" w:eastAsia="Times New Roman" w:hAnsi="Times New Roman"/>
        </w:rPr>
        <w:t xml:space="preserve"> MUNICIPAL DE AGRICULTURA E MEIO AMBIENTE</w:t>
      </w:r>
    </w:p>
    <w:sectPr w:rsidR="0023179C">
      <w:type w:val="continuous"/>
      <w:pgSz w:w="11906" w:h="16838"/>
      <w:pgMar w:top="1135" w:right="1701" w:bottom="764" w:left="1701"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B25FF" w14:textId="77777777" w:rsidR="00E069A5" w:rsidRDefault="00E069A5">
      <w:pPr>
        <w:spacing w:after="0" w:line="240" w:lineRule="auto"/>
      </w:pPr>
      <w:r>
        <w:separator/>
      </w:r>
    </w:p>
  </w:endnote>
  <w:endnote w:type="continuationSeparator" w:id="0">
    <w:p w14:paraId="31B0172E" w14:textId="77777777" w:rsidR="00E069A5" w:rsidRDefault="00E06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iberation Serif;Times New Roma">
    <w:panose1 w:val="00000000000000000000"/>
    <w:charset w:val="00"/>
    <w:family w:val="roman"/>
    <w:notTrueType/>
    <w:pitch w:val="default"/>
  </w:font>
  <w:font w:name="Lohit Devanagari;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C8C65" w14:textId="77777777" w:rsidR="00E069A5" w:rsidRDefault="00E069A5">
      <w:pPr>
        <w:rPr>
          <w:sz w:val="12"/>
        </w:rPr>
      </w:pPr>
      <w:r>
        <w:separator/>
      </w:r>
    </w:p>
  </w:footnote>
  <w:footnote w:type="continuationSeparator" w:id="0">
    <w:p w14:paraId="29DD89DC" w14:textId="77777777" w:rsidR="00E069A5" w:rsidRDefault="00E069A5">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C1A"/>
    <w:multiLevelType w:val="multilevel"/>
    <w:tmpl w:val="EEB42A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A00564A"/>
    <w:multiLevelType w:val="multilevel"/>
    <w:tmpl w:val="1F985C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B241CA5"/>
    <w:multiLevelType w:val="multilevel"/>
    <w:tmpl w:val="462092F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095589C"/>
    <w:multiLevelType w:val="multilevel"/>
    <w:tmpl w:val="53F66F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2C9644D"/>
    <w:multiLevelType w:val="multilevel"/>
    <w:tmpl w:val="67CA0E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B6949FD"/>
    <w:multiLevelType w:val="multilevel"/>
    <w:tmpl w:val="895CF8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10C0E61"/>
    <w:multiLevelType w:val="multilevel"/>
    <w:tmpl w:val="9AB6DA7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7" w15:restartNumberingAfterBreak="0">
    <w:nsid w:val="23C02EB5"/>
    <w:multiLevelType w:val="multilevel"/>
    <w:tmpl w:val="01185F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2793599B"/>
    <w:multiLevelType w:val="multilevel"/>
    <w:tmpl w:val="BB68062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2A4F621E"/>
    <w:multiLevelType w:val="multilevel"/>
    <w:tmpl w:val="AB9054EA"/>
    <w:lvl w:ilvl="0">
      <w:start w:val="1"/>
      <w:numFmt w:val="upperRoman"/>
      <w:lvlText w:val="%1 - "/>
      <w:lvlJc w:val="left"/>
      <w:pPr>
        <w:tabs>
          <w:tab w:val="num" w:pos="0"/>
        </w:tabs>
        <w:ind w:left="6740" w:hanging="360"/>
      </w:pPr>
      <w:rPr>
        <w:b/>
      </w:r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5374C32"/>
    <w:multiLevelType w:val="multilevel"/>
    <w:tmpl w:val="DD1625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23D6A1C"/>
    <w:multiLevelType w:val="multilevel"/>
    <w:tmpl w:val="E2FEF0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48D2286"/>
    <w:multiLevelType w:val="multilevel"/>
    <w:tmpl w:val="68A63D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4861726E"/>
    <w:multiLevelType w:val="multilevel"/>
    <w:tmpl w:val="497817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93A715D"/>
    <w:multiLevelType w:val="multilevel"/>
    <w:tmpl w:val="AA1C6CE0"/>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94A69E1"/>
    <w:multiLevelType w:val="multilevel"/>
    <w:tmpl w:val="379233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09F3007"/>
    <w:multiLevelType w:val="multilevel"/>
    <w:tmpl w:val="81EE18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53FF1315"/>
    <w:multiLevelType w:val="multilevel"/>
    <w:tmpl w:val="7F1E40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61387416"/>
    <w:multiLevelType w:val="multilevel"/>
    <w:tmpl w:val="662C22BE"/>
    <w:lvl w:ilvl="0">
      <w:start w:val="1"/>
      <w:numFmt w:val="decimal"/>
      <w:lvlText w:val="%1."/>
      <w:lvlJc w:val="lef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D0062AF"/>
    <w:multiLevelType w:val="multilevel"/>
    <w:tmpl w:val="1E9CBCE8"/>
    <w:lvl w:ilvl="0">
      <w:start w:val="1"/>
      <w:numFmt w:val="decimal"/>
      <w:lvlText w:val="%1."/>
      <w:lvlJc w:val="left"/>
      <w:pPr>
        <w:tabs>
          <w:tab w:val="num" w:pos="0"/>
        </w:tabs>
        <w:ind w:left="786" w:hanging="360"/>
      </w:pPr>
      <w:rPr>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2F26D03"/>
    <w:multiLevelType w:val="multilevel"/>
    <w:tmpl w:val="9D3A27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78F7703E"/>
    <w:multiLevelType w:val="multilevel"/>
    <w:tmpl w:val="7E2E0F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7AFD1C84"/>
    <w:multiLevelType w:val="multilevel"/>
    <w:tmpl w:val="4294BB4A"/>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B622DE4"/>
    <w:multiLevelType w:val="multilevel"/>
    <w:tmpl w:val="A3208C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278373008">
    <w:abstractNumId w:val="22"/>
  </w:num>
  <w:num w:numId="2" w16cid:durableId="840046976">
    <w:abstractNumId w:val="14"/>
  </w:num>
  <w:num w:numId="3" w16cid:durableId="16930238">
    <w:abstractNumId w:val="6"/>
  </w:num>
  <w:num w:numId="4" w16cid:durableId="1012074574">
    <w:abstractNumId w:val="7"/>
  </w:num>
  <w:num w:numId="5" w16cid:durableId="1235051312">
    <w:abstractNumId w:val="11"/>
  </w:num>
  <w:num w:numId="6" w16cid:durableId="1002515824">
    <w:abstractNumId w:val="3"/>
  </w:num>
  <w:num w:numId="7" w16cid:durableId="1125007243">
    <w:abstractNumId w:val="16"/>
  </w:num>
  <w:num w:numId="8" w16cid:durableId="677776699">
    <w:abstractNumId w:val="12"/>
  </w:num>
  <w:num w:numId="9" w16cid:durableId="845899082">
    <w:abstractNumId w:val="0"/>
  </w:num>
  <w:num w:numId="10" w16cid:durableId="1265306040">
    <w:abstractNumId w:val="18"/>
  </w:num>
  <w:num w:numId="11" w16cid:durableId="1527793894">
    <w:abstractNumId w:val="5"/>
  </w:num>
  <w:num w:numId="12" w16cid:durableId="1356614010">
    <w:abstractNumId w:val="23"/>
  </w:num>
  <w:num w:numId="13" w16cid:durableId="1896893449">
    <w:abstractNumId w:val="10"/>
  </w:num>
  <w:num w:numId="14" w16cid:durableId="1035233684">
    <w:abstractNumId w:val="19"/>
  </w:num>
  <w:num w:numId="15" w16cid:durableId="936138908">
    <w:abstractNumId w:val="15"/>
  </w:num>
  <w:num w:numId="16" w16cid:durableId="1288395936">
    <w:abstractNumId w:val="17"/>
  </w:num>
  <w:num w:numId="17" w16cid:durableId="905646886">
    <w:abstractNumId w:val="13"/>
  </w:num>
  <w:num w:numId="18" w16cid:durableId="1452168570">
    <w:abstractNumId w:val="8"/>
  </w:num>
  <w:num w:numId="19" w16cid:durableId="925966901">
    <w:abstractNumId w:val="1"/>
  </w:num>
  <w:num w:numId="20" w16cid:durableId="2042172021">
    <w:abstractNumId w:val="9"/>
  </w:num>
  <w:num w:numId="21" w16cid:durableId="725299342">
    <w:abstractNumId w:val="20"/>
  </w:num>
  <w:num w:numId="22" w16cid:durableId="370612546">
    <w:abstractNumId w:val="4"/>
  </w:num>
  <w:num w:numId="23" w16cid:durableId="275990007">
    <w:abstractNumId w:val="21"/>
  </w:num>
  <w:num w:numId="24" w16cid:durableId="677850355">
    <w:abstractNumId w:val="2"/>
  </w:num>
  <w:num w:numId="25" w16cid:durableId="1724138295">
    <w:abstractNumId w:val="19"/>
    <w:lvlOverride w:ilvl="0">
      <w:startOverride w:val="1"/>
    </w:lvlOverride>
  </w:num>
  <w:num w:numId="26" w16cid:durableId="774406080">
    <w:abstractNumId w:val="18"/>
    <w:lvlOverride w:ilvl="0">
      <w:startOverride w:val="1"/>
    </w:lvlOverride>
  </w:num>
  <w:num w:numId="27" w16cid:durableId="1841576685">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9C"/>
    <w:rsid w:val="00143ECF"/>
    <w:rsid w:val="001570AE"/>
    <w:rsid w:val="0023179C"/>
    <w:rsid w:val="00263D17"/>
    <w:rsid w:val="00276DE6"/>
    <w:rsid w:val="0029540E"/>
    <w:rsid w:val="003E5D9E"/>
    <w:rsid w:val="00614F5E"/>
    <w:rsid w:val="00746482"/>
    <w:rsid w:val="008A2972"/>
    <w:rsid w:val="00931919"/>
    <w:rsid w:val="00AB6A3B"/>
    <w:rsid w:val="00AC2CA7"/>
    <w:rsid w:val="00B16043"/>
    <w:rsid w:val="00CD3728"/>
    <w:rsid w:val="00D23677"/>
    <w:rsid w:val="00E069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82433"/>
  <w15:docId w15:val="{463F0F74-FF07-472D-9618-E1527C65A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6" w:lineRule="auto"/>
    </w:pPr>
    <w:rPr>
      <w:rFonts w:ascii="Calibri" w:eastAsia="Calibri" w:hAnsi="Calibri" w:cs="Times New Roman"/>
      <w:sz w:val="22"/>
      <w:szCs w:val="22"/>
      <w:lang w:eastAsia="zh-CN"/>
    </w:rPr>
  </w:style>
  <w:style w:type="paragraph" w:styleId="Ttulo2">
    <w:name w:val="heading 2"/>
    <w:basedOn w:val="Normal"/>
    <w:next w:val="Corpodetexto"/>
    <w:qFormat/>
    <w:pPr>
      <w:widowControl w:val="0"/>
      <w:numPr>
        <w:ilvl w:val="1"/>
        <w:numId w:val="1"/>
      </w:numPr>
      <w:autoSpaceDE w:val="0"/>
      <w:spacing w:after="0" w:line="240" w:lineRule="auto"/>
      <w:ind w:left="509" w:hanging="331"/>
      <w:outlineLvl w:val="1"/>
    </w:pPr>
    <w:rPr>
      <w:rFonts w:ascii="Times New Roman" w:eastAsia="Times New Roman" w:hAnsi="Times New Roman"/>
      <w:b/>
      <w:bCs/>
      <w:lang w:val="pt-PT"/>
    </w:rPr>
  </w:style>
  <w:style w:type="paragraph" w:styleId="Ttulo3">
    <w:name w:val="heading 3"/>
    <w:basedOn w:val="Normal"/>
    <w:next w:val="Normal"/>
    <w:qFormat/>
    <w:pPr>
      <w:keepNext/>
      <w:numPr>
        <w:ilvl w:val="2"/>
        <w:numId w:val="1"/>
      </w:numPr>
      <w:spacing w:before="240" w:after="60"/>
      <w:outlineLvl w:val="2"/>
    </w:pPr>
    <w:rPr>
      <w:rFonts w:ascii="Calibri Light" w:eastAsia="Times New Roman" w:hAnsi="Calibri Light"/>
      <w:b/>
      <w:bCs/>
      <w:sz w:val="26"/>
      <w:szCs w:val="26"/>
    </w:rPr>
  </w:style>
  <w:style w:type="paragraph" w:styleId="Ttulo4">
    <w:name w:val="heading 4"/>
    <w:basedOn w:val="Normal"/>
    <w:next w:val="Normal"/>
    <w:qFormat/>
    <w:pPr>
      <w:keepNext/>
      <w:numPr>
        <w:ilvl w:val="3"/>
        <w:numId w:val="1"/>
      </w:numPr>
      <w:spacing w:before="240" w:after="60"/>
      <w:outlineLvl w:val="3"/>
    </w:pPr>
    <w:rPr>
      <w:rFonts w:eastAsia="Times New Roman"/>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b/>
      <w:color w:val="00000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b/>
    </w:rPr>
  </w:style>
  <w:style w:type="character" w:customStyle="1" w:styleId="WW8Num31z1">
    <w:name w:val="WW8Num31z1"/>
    <w:qFormat/>
    <w:rPr>
      <w:b/>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Ttulo2Char">
    <w:name w:val="Título 2 Char"/>
    <w:qFormat/>
    <w:rPr>
      <w:rFonts w:ascii="Times New Roman" w:eastAsia="Times New Roman" w:hAnsi="Times New Roman" w:cs="Times New Roman"/>
      <w:b/>
      <w:bCs/>
      <w:kern w:val="0"/>
      <w:lang w:val="pt-PT"/>
    </w:rPr>
  </w:style>
  <w:style w:type="character" w:customStyle="1" w:styleId="CabealhoChar">
    <w:name w:val="Cabeçalho Char"/>
    <w:qFormat/>
    <w:rPr>
      <w:kern w:val="0"/>
    </w:rPr>
  </w:style>
  <w:style w:type="character" w:customStyle="1" w:styleId="RodapChar">
    <w:name w:val="Rodapé Char"/>
    <w:qFormat/>
    <w:rPr>
      <w:kern w:val="0"/>
    </w:rPr>
  </w:style>
  <w:style w:type="character" w:customStyle="1" w:styleId="TextodenotaderodapChar">
    <w:name w:val="Texto de nota de rodapé Char"/>
    <w:qFormat/>
    <w:rPr>
      <w:kern w:val="0"/>
      <w:sz w:val="20"/>
      <w:szCs w:val="20"/>
    </w:rPr>
  </w:style>
  <w:style w:type="character" w:customStyle="1" w:styleId="FootnoteCharacters">
    <w:name w:val="Footnote Characters"/>
    <w:qFormat/>
    <w:rPr>
      <w:vertAlign w:val="superscript"/>
    </w:rPr>
  </w:style>
  <w:style w:type="character" w:styleId="Hyperlink">
    <w:name w:val="Hyperlink"/>
    <w:rPr>
      <w:color w:val="0563C1"/>
      <w:u w:val="single"/>
    </w:rPr>
  </w:style>
  <w:style w:type="character" w:customStyle="1" w:styleId="MenoPendente1">
    <w:name w:val="Menção Pendente1"/>
    <w:qFormat/>
    <w:rPr>
      <w:color w:val="605E5C"/>
      <w:shd w:val="clear" w:color="auto" w:fill="E1DFDD"/>
    </w:rPr>
  </w:style>
  <w:style w:type="character" w:customStyle="1" w:styleId="celnlef">
    <w:name w:val="celnlef"/>
    <w:basedOn w:val="Fontepargpadro"/>
    <w:qFormat/>
  </w:style>
  <w:style w:type="character" w:customStyle="1" w:styleId="CorpodetextoChar">
    <w:name w:val="Corpo de texto Char"/>
    <w:qFormat/>
    <w:rPr>
      <w:rFonts w:ascii="Times New Roman" w:eastAsia="Times New Roman" w:hAnsi="Times New Roman" w:cs="Times New Roman"/>
      <w:kern w:val="0"/>
      <w:lang w:val="pt-PT"/>
    </w:rPr>
  </w:style>
  <w:style w:type="character" w:styleId="HiperlinkVisitado">
    <w:name w:val="FollowedHyperlink"/>
    <w:rPr>
      <w:color w:val="954F72"/>
      <w:u w:val="single"/>
    </w:rPr>
  </w:style>
  <w:style w:type="character" w:customStyle="1" w:styleId="fontstyle01">
    <w:name w:val="fontstyle01"/>
    <w:qFormat/>
    <w:rPr>
      <w:rFonts w:ascii="Times New Roman" w:hAnsi="Times New Roman" w:cs="Times New Roman"/>
      <w:b/>
      <w:bCs/>
      <w:i w:val="0"/>
      <w:iCs w:val="0"/>
      <w:color w:val="000000"/>
      <w:sz w:val="22"/>
      <w:szCs w:val="22"/>
    </w:rPr>
  </w:style>
  <w:style w:type="character" w:customStyle="1" w:styleId="fontstyle21">
    <w:name w:val="fontstyle21"/>
    <w:qFormat/>
    <w:rPr>
      <w:rFonts w:ascii="Times New Roman" w:hAnsi="Times New Roman" w:cs="Times New Roman"/>
      <w:b w:val="0"/>
      <w:bCs w:val="0"/>
      <w:i w:val="0"/>
      <w:iCs w:val="0"/>
      <w:color w:val="000000"/>
      <w:sz w:val="22"/>
      <w:szCs w:val="22"/>
    </w:rPr>
  </w:style>
  <w:style w:type="character" w:styleId="Refdecomentrio">
    <w:name w:val="annotation reference"/>
    <w:qFormat/>
    <w:rPr>
      <w:sz w:val="16"/>
      <w:szCs w:val="16"/>
    </w:rPr>
  </w:style>
  <w:style w:type="character" w:customStyle="1" w:styleId="TextodecomentrioChar">
    <w:name w:val="Texto de comentário Char"/>
    <w:qFormat/>
    <w:rPr>
      <w:kern w:val="0"/>
      <w:sz w:val="20"/>
      <w:szCs w:val="20"/>
    </w:rPr>
  </w:style>
  <w:style w:type="character" w:customStyle="1" w:styleId="AssuntodocomentrioChar">
    <w:name w:val="Assunto do comentário Char"/>
    <w:qFormat/>
    <w:rPr>
      <w:b/>
      <w:bCs/>
      <w:kern w:val="0"/>
      <w:sz w:val="20"/>
      <w:szCs w:val="20"/>
    </w:rPr>
  </w:style>
  <w:style w:type="character" w:customStyle="1" w:styleId="MenoPendente2">
    <w:name w:val="Menção Pendente2"/>
    <w:qFormat/>
    <w:rPr>
      <w:color w:val="605E5C"/>
      <w:shd w:val="clear" w:color="auto" w:fill="E1DFDD"/>
    </w:rPr>
  </w:style>
  <w:style w:type="character" w:customStyle="1" w:styleId="Ttulo3Char">
    <w:name w:val="Título 3 Char"/>
    <w:qFormat/>
    <w:rPr>
      <w:rFonts w:ascii="Calibri Light" w:eastAsia="Times New Roman" w:hAnsi="Calibri Light" w:cs="Times New Roman"/>
      <w:b/>
      <w:bCs/>
      <w:sz w:val="26"/>
      <w:szCs w:val="26"/>
    </w:rPr>
  </w:style>
  <w:style w:type="character" w:customStyle="1" w:styleId="Ttulo4Char">
    <w:name w:val="Título 4 Char"/>
    <w:qFormat/>
    <w:rPr>
      <w:rFonts w:ascii="Calibri" w:eastAsia="Times New Roman" w:hAnsi="Calibri" w:cs="Times New Roman"/>
      <w:b/>
      <w:bCs/>
      <w:sz w:val="28"/>
      <w:szCs w:val="28"/>
    </w:rPr>
  </w:style>
  <w:style w:type="character" w:styleId="Forte">
    <w:name w:val="Strong"/>
    <w:qFormat/>
    <w:rPr>
      <w:b/>
      <w:bCs/>
    </w:rPr>
  </w:style>
  <w:style w:type="character" w:styleId="Refdenotaderodap">
    <w:name w:val="footnote reference"/>
    <w:rPr>
      <w:vertAlign w:val="superscript"/>
    </w:rPr>
  </w:style>
  <w:style w:type="character" w:styleId="Refdenotadefim">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widowControl w:val="0"/>
      <w:autoSpaceDE w:val="0"/>
      <w:spacing w:after="0" w:line="240" w:lineRule="auto"/>
    </w:pPr>
    <w:rPr>
      <w:rFonts w:ascii="Times New Roman" w:eastAsia="Times New Roman" w:hAnsi="Times New Roman"/>
      <w:lang w:val="pt-PT"/>
    </w:r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Cabealho">
    <w:name w:val="header"/>
    <w:basedOn w:val="Normal"/>
    <w:pPr>
      <w:spacing w:after="0" w:line="240" w:lineRule="auto"/>
    </w:pPr>
  </w:style>
  <w:style w:type="paragraph" w:styleId="Rodap">
    <w:name w:val="footer"/>
    <w:basedOn w:val="Normal"/>
    <w:pPr>
      <w:spacing w:after="0" w:line="240" w:lineRule="auto"/>
    </w:pPr>
  </w:style>
  <w:style w:type="paragraph" w:styleId="Textodenotaderodap">
    <w:name w:val="footnote text"/>
    <w:basedOn w:val="Normal"/>
    <w:pPr>
      <w:spacing w:after="0" w:line="240" w:lineRule="auto"/>
    </w:pPr>
    <w:rPr>
      <w:sz w:val="20"/>
      <w:szCs w:val="20"/>
    </w:rPr>
  </w:style>
  <w:style w:type="paragraph" w:styleId="PargrafodaLista">
    <w:name w:val="List Paragraph"/>
    <w:basedOn w:val="Normal"/>
    <w:qFormat/>
    <w:pPr>
      <w:ind w:left="720"/>
      <w:contextualSpacing/>
    </w:pPr>
  </w:style>
  <w:style w:type="paragraph" w:styleId="SemEspaamento">
    <w:name w:val="No Spacing"/>
    <w:qFormat/>
    <w:pPr>
      <w:suppressAutoHyphens/>
    </w:pPr>
    <w:rPr>
      <w:rFonts w:ascii="Calibri" w:eastAsia="Calibri" w:hAnsi="Calibri" w:cs="Times New Roman"/>
      <w:sz w:val="22"/>
      <w:szCs w:val="22"/>
      <w:lang w:eastAsia="zh-CN"/>
    </w:rPr>
  </w:style>
  <w:style w:type="paragraph" w:customStyle="1" w:styleId="msonormal0">
    <w:name w:val="msonormal"/>
    <w:basedOn w:val="Normal"/>
    <w:qFormat/>
    <w:pPr>
      <w:spacing w:before="280" w:after="280" w:line="240" w:lineRule="auto"/>
    </w:pPr>
    <w:rPr>
      <w:rFonts w:ascii="Times New Roman" w:eastAsia="Times New Roman" w:hAnsi="Times New Roman"/>
      <w:sz w:val="24"/>
      <w:szCs w:val="24"/>
    </w:rPr>
  </w:style>
  <w:style w:type="paragraph" w:customStyle="1" w:styleId="TableContents">
    <w:name w:val="Table Contents"/>
    <w:basedOn w:val="Normal"/>
    <w:qFormat/>
    <w:pPr>
      <w:widowControl w:val="0"/>
      <w:suppressLineNumbers/>
      <w:spacing w:after="0" w:line="240" w:lineRule="auto"/>
    </w:pPr>
    <w:rPr>
      <w:rFonts w:ascii="Liberation Serif;Times New Roma" w:eastAsia="Noto Serif CJK SC" w:hAnsi="Liberation Serif;Times New Roma" w:cs="Lohit Devanagari;Calibri"/>
      <w:kern w:val="2"/>
      <w:sz w:val="24"/>
      <w:szCs w:val="24"/>
      <w:lang w:bidi="hi-IN"/>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xtodecomentrio">
    <w:name w:val="annotation text"/>
    <w:basedOn w:val="Normal"/>
    <w:qFormat/>
    <w:pPr>
      <w:spacing w:line="240" w:lineRule="auto"/>
    </w:pPr>
    <w:rPr>
      <w:sz w:val="20"/>
      <w:szCs w:val="20"/>
    </w:rPr>
  </w:style>
  <w:style w:type="paragraph" w:styleId="Assuntodocomentrio">
    <w:name w:val="annotation subject"/>
    <w:basedOn w:val="Textodecomentrio"/>
    <w:next w:val="Textodecomentrio"/>
    <w:qFormat/>
    <w:rPr>
      <w:b/>
      <w:bCs/>
    </w:rPr>
  </w:style>
  <w:style w:type="paragraph" w:customStyle="1" w:styleId="TableParagraph">
    <w:name w:val="Table Paragraph"/>
    <w:basedOn w:val="Normal"/>
    <w:qFormat/>
    <w:pPr>
      <w:widowControl w:val="0"/>
      <w:autoSpaceDE w:val="0"/>
      <w:spacing w:after="0" w:line="240" w:lineRule="auto"/>
      <w:ind w:left="108"/>
      <w:jc w:val="both"/>
    </w:pPr>
    <w:rPr>
      <w:rFonts w:ascii="Times New Roman" w:eastAsia="Times New Roman" w:hAnsi="Times New Roman"/>
      <w:lang w:val="pt-PT"/>
    </w:rPr>
  </w:style>
  <w:style w:type="paragraph" w:styleId="NormalWeb">
    <w:name w:val="Normal (Web)"/>
    <w:basedOn w:val="Normal"/>
    <w:qFormat/>
    <w:rPr>
      <w:rFonts w:ascii="Times New Roman" w:hAnsi="Times New Roman"/>
      <w:sz w:val="24"/>
      <w:szCs w:val="24"/>
    </w:r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8</Pages>
  <Words>4949</Words>
  <Characters>26728</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Particular</dc:creator>
  <cp:lastModifiedBy>ANDRESSA TRIACCA</cp:lastModifiedBy>
  <cp:revision>9</cp:revision>
  <dcterms:created xsi:type="dcterms:W3CDTF">2026-09-25T11:11:00Z</dcterms:created>
  <dcterms:modified xsi:type="dcterms:W3CDTF">2026-09-28T19:35:00Z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2026-06-09T09:58:00Z</dcterms:created>
  <dc:creator>Particular</dc:creator>
  <dc:description/>
  <cp:keywords/>
  <dc:language>en-US</dc:language>
  <cp:lastModifiedBy>ANDRESSA TRIACCA</cp:lastModifiedBy>
  <cp:lastPrinted>2026-04-17T15:20:00Z</cp:lastPrinted>
  <dcterms:modified xsi:type="dcterms:W3CDTF">2026-06-10T17:27:00Z</dcterms:modified>
  <cp:revision>20</cp:revision>
  <dc:subject/>
  <dc:title/>
</cp:coreProperties>
</file>