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603CA" w14:textId="77777777" w:rsidR="00452F8C" w:rsidRPr="00666CB3" w:rsidRDefault="00452F8C" w:rsidP="00666CB3">
      <w:pPr>
        <w:jc w:val="center"/>
        <w:rPr>
          <w:rFonts w:eastAsia="Arial"/>
          <w:b/>
          <w:bCs/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Secretária Municipal de Educação, Cultura e Esporte</w:t>
      </w:r>
    </w:p>
    <w:p w14:paraId="454C2A62" w14:textId="3E2278AD" w:rsidR="00452F8C" w:rsidRPr="00666CB3" w:rsidRDefault="00452F8C" w:rsidP="00666CB3">
      <w:pPr>
        <w:jc w:val="center"/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 xml:space="preserve">Solicitação nº </w:t>
      </w:r>
      <w:r w:rsidR="00112300">
        <w:rPr>
          <w:rFonts w:eastAsia="Arial"/>
          <w:b/>
          <w:bCs/>
          <w:sz w:val="22"/>
          <w:szCs w:val="22"/>
        </w:rPr>
        <w:t>047</w:t>
      </w:r>
      <w:r w:rsidRPr="00666CB3">
        <w:rPr>
          <w:rFonts w:eastAsia="Arial"/>
          <w:b/>
          <w:bCs/>
          <w:sz w:val="22"/>
          <w:szCs w:val="22"/>
        </w:rPr>
        <w:t>/2026</w:t>
      </w:r>
    </w:p>
    <w:p w14:paraId="3DC92AEB" w14:textId="77777777" w:rsidR="003331DB" w:rsidRDefault="003331DB" w:rsidP="00666CB3">
      <w:pPr>
        <w:jc w:val="center"/>
        <w:rPr>
          <w:rFonts w:eastAsia="Arial"/>
          <w:b/>
          <w:bCs/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TERMO DE REFERÊNCIA</w:t>
      </w:r>
    </w:p>
    <w:p w14:paraId="7CBE9EE0" w14:textId="77777777" w:rsidR="00FF4AD3" w:rsidRPr="00666CB3" w:rsidRDefault="00FF4AD3" w:rsidP="00666CB3">
      <w:pPr>
        <w:jc w:val="center"/>
        <w:rPr>
          <w:sz w:val="22"/>
          <w:szCs w:val="22"/>
        </w:rPr>
      </w:pPr>
    </w:p>
    <w:p w14:paraId="69805DB3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1. Definição do objeto, incluídos sua natureza, os quantitativos, o prazo do contrato e, se for o caso, a possibilidade de sua prorrogação</w:t>
      </w:r>
    </w:p>
    <w:p w14:paraId="7C977E2E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Constitui objeto da presente contratação a contratação de empresa especializada em engenharia e/ou arquitetura para elaboração dos projetos técnicos e complementares necessários à construção da Arena Esportiva Multiuso do Município de Palmitos/SC, com dimensões aproximadas de 80,00m x 50,00m (área aproximada de 4.000,00 m²), contemplando quadra oficial de 40,00m x 20,00m, arquibancada, vestiários, banheiros, salas de apoio e demais dependências, compreendendo a elaboração de todos os estudos, levantamentos, projetos, memoriais, quantitativos, cronogramas e planilhas orçamentárias necessários à adequada definição das soluções técnicas e à futura contratação da execução do empreendimento.</w:t>
      </w:r>
    </w:p>
    <w:p w14:paraId="5AD0A8F7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 objeto possui natureza de serviço comum de engenharia e arquitetura, a ser executado sem dedicação exclusiva de mão de obra, por escopo, mediante entrega de produtos técnicos completos, compatibilizados e acompanhados das respectivas responsabilidades técnicas.</w:t>
      </w:r>
    </w:p>
    <w:p w14:paraId="11EEE81F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 prazo para execução dos serviços será de até 90 (noventa) dias corridos, contados da emissão da Ordem de Serviço, tendo em vista a maior complexidade e abrangência do objeto em relação a projetos de menor porte.</w:t>
      </w:r>
    </w:p>
    <w:p w14:paraId="154B9F51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vigência do contrato será de 120 (cento e vinte) dias, contados da assinatura do instrumento contratual, período necessário para execução dos serviços, análise dos produtos entregues, realização de eventuais ajustes e formalização do recebimento definitivo.</w:t>
      </w:r>
    </w:p>
    <w:p w14:paraId="112BA6CB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Os prazos poderão ser prorrogados nas hipóteses legalmente admitidas, mediante justificativa formal, demonstração do interesse público e observância das disposições aplicáveis da Lei nº 14.133/2021.</w:t>
      </w:r>
    </w:p>
    <w:p w14:paraId="52AA6E58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 objeto enquadra-se como serviço comum de engenharia, nos termos do art. 6º, inciso XXI, da Lei nº 14.133/2021, uma vez que seus padrões de desempenho e qualidade podem ser objetivamente definidos por meio de especificações usuais de mercado.</w:t>
      </w:r>
    </w:p>
    <w:p w14:paraId="6F581370" w14:textId="77777777" w:rsidR="003331DB" w:rsidRPr="00666CB3" w:rsidRDefault="003331DB" w:rsidP="00666CB3">
      <w:pPr>
        <w:rPr>
          <w:rFonts w:eastAsia="Arial"/>
          <w:i/>
          <w:iCs/>
          <w:color w:val="7F6000"/>
          <w:sz w:val="22"/>
          <w:szCs w:val="22"/>
        </w:rPr>
      </w:pPr>
    </w:p>
    <w:p w14:paraId="20EE97FD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2. Especificação do produto, observados os requisitos de qualidade, rendimento, compatibilidade, durabilidade e segurança</w:t>
      </w:r>
    </w:p>
    <w:p w14:paraId="7C4998C0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Não foi identificado catálogo eletrônico de padronização aplicável ao objeto da contratação, inclusive no âmbito do Portal Nacional de Contratações Públicas – PNCP.</w:t>
      </w:r>
    </w:p>
    <w:p w14:paraId="2E7607C5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Os serviços deverão ser executados em conformidade com a legislação vigente, normas técnicas da ABNT, normas dos Conselhos Profissionais competentes, regulamentos do Corpo de Bombeiros e demais órgãos licenciadores e requisitos técnicos aplicáveis ao objeto.</w:t>
      </w:r>
    </w:p>
    <w:p w14:paraId="0114DA86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contratada deverá fornecer projetos completos, compatibilizados e aptos à futura contratação da execução do empreendimento, observando critérios de qualidade técnica, segurança, funcionalidade, durabilidade, economicidade, acessibilidade e sustentabilidade.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963"/>
        <w:gridCol w:w="906"/>
        <w:gridCol w:w="691"/>
        <w:gridCol w:w="1095"/>
        <w:gridCol w:w="1095"/>
      </w:tblGrid>
      <w:tr w:rsidR="003331DB" w:rsidRPr="00666CB3" w14:paraId="4FCD4747" w14:textId="77777777" w:rsidTr="001951C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004DF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Item</w:t>
            </w:r>
          </w:p>
        </w:tc>
        <w:tc>
          <w:tcPr>
            <w:tcW w:w="49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7AFB6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Descrição</w:t>
            </w:r>
          </w:p>
        </w:tc>
        <w:tc>
          <w:tcPr>
            <w:tcW w:w="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CB026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Un.</w:t>
            </w:r>
          </w:p>
        </w:tc>
        <w:tc>
          <w:tcPr>
            <w:tcW w:w="6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E677D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proofErr w:type="spellStart"/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Qtd</w:t>
            </w:r>
            <w:proofErr w:type="spellEnd"/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0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4FD67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Valor Un. (R$)</w:t>
            </w:r>
          </w:p>
        </w:tc>
        <w:tc>
          <w:tcPr>
            <w:tcW w:w="10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A2DD7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Valor Total (R$)</w:t>
            </w:r>
          </w:p>
        </w:tc>
      </w:tr>
      <w:tr w:rsidR="003331DB" w:rsidRPr="00666CB3" w14:paraId="46475623" w14:textId="77777777" w:rsidTr="001951C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5527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1</w:t>
            </w:r>
          </w:p>
        </w:tc>
        <w:tc>
          <w:tcPr>
            <w:tcW w:w="49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361EE" w14:textId="77777777" w:rsidR="003331DB" w:rsidRPr="00666CB3" w:rsidRDefault="003331DB" w:rsidP="00666CB3">
            <w:pPr>
              <w:jc w:val="both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 xml:space="preserve">Elaboração de projetos técnicos e complementares para construção da Arena Esportiva Multiuso (80,00m x 50,00m, aprox. 4.000 m²), contemplando quadra oficial 40,00m x 20,00m, arquibancada, vestiários, banheiros e salas de apoio: projeto arquitetônico, estrutural, acessibilidade, complementares (elétrico/SPDA, hidrossanitário, pluvial), incêndio (PPCI), executivo, memorial descritivo, memorial de cálculo, </w:t>
            </w:r>
            <w:r w:rsidRPr="00666CB3">
              <w:rPr>
                <w:rFonts w:eastAsia="Arial"/>
                <w:sz w:val="22"/>
                <w:szCs w:val="22"/>
              </w:rPr>
              <w:lastRenderedPageBreak/>
              <w:t>quantitativos, cronograma físico-financeiro e planilha orçamentária com e sem BDI.</w:t>
            </w:r>
          </w:p>
        </w:tc>
        <w:tc>
          <w:tcPr>
            <w:tcW w:w="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0BA1B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lastRenderedPageBreak/>
              <w:t>Unidade</w:t>
            </w:r>
          </w:p>
        </w:tc>
        <w:tc>
          <w:tcPr>
            <w:tcW w:w="6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0850F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1</w:t>
            </w:r>
          </w:p>
        </w:tc>
        <w:tc>
          <w:tcPr>
            <w:tcW w:w="10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D75D5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75.000,00</w:t>
            </w:r>
          </w:p>
        </w:tc>
        <w:tc>
          <w:tcPr>
            <w:tcW w:w="10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E16A3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75.000,00</w:t>
            </w:r>
          </w:p>
        </w:tc>
      </w:tr>
    </w:tbl>
    <w:p w14:paraId="39C05E46" w14:textId="77777777" w:rsidR="003331DB" w:rsidRPr="00666CB3" w:rsidRDefault="003331DB" w:rsidP="00666CB3">
      <w:pPr>
        <w:jc w:val="both"/>
        <w:rPr>
          <w:sz w:val="22"/>
          <w:szCs w:val="22"/>
        </w:rPr>
      </w:pPr>
    </w:p>
    <w:p w14:paraId="23ED69F0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3. Fundamentação da contratação, com referência ao Estudo Técnico Preliminar correspondente</w:t>
      </w:r>
    </w:p>
    <w:p w14:paraId="6605F31A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presente contratação encontra-se fundamentada no correspondente Estudo Técnico Preliminar, elaborado nos termos do art. 18 da Lei nº 14.133/2021, no qual foram analisadas a necessidade administrativa, as alternativas disponíveis, o levantamento de mercado (incluindo editais de outros Municípios para objeto semelhante), os riscos envolvidos, a solução mais adequada sob os aspectos técnico e econômico, a estimativa de preços e a viabilidade da contratação.</w:t>
      </w:r>
    </w:p>
    <w:p w14:paraId="0D4C2143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 Estudo Técnico Preliminar concluiu pela necessidade e adequação da contratação de empresa especializada para elaboração dos projetos técnicos e complementares destinados à construção da Arena Esportiva Multiuso do Município de Palmitos/SC, compreendendo todos os elementos técnicos necessários à futura contratação da execução do empreendimento.</w:t>
      </w:r>
    </w:p>
    <w:p w14:paraId="3CA4C1A2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Conforme demonstrado no ETP, a ausência dos projetos compromete o planejamento da Administração, dificulta a definição precisa do objeto, reduz a confiabilidade das estimativas de custos e aumenta os riscos de falhas técnicas, retrabalho e alterações contratuais durante a futura execução da obra.</w:t>
      </w:r>
    </w:p>
    <w:p w14:paraId="17A549D5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Dessa forma, as conclusões constantes do Estudo Técnico Preliminar fundamentam integralmente a presente contratação e demonstram sua compatibilidade com os princípios do planejamento, eficiência, economicidade e interesse público previstos na Lei nº 14.133/2021.</w:t>
      </w:r>
    </w:p>
    <w:p w14:paraId="611AC401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3B0E2C06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4. Descrição da solução como um todo, considerado todo o ciclo de vida do objeto</w:t>
      </w:r>
    </w:p>
    <w:p w14:paraId="29BBAC23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solução consiste na contratação de empresa especializada para elaboração dos projetos técnicos e complementares destinados à construção da Arena Esportiva Multiuso do Município de Palmitos/SC, compreendendo todos os estudos, levantamentos, projetos, memoriais, quantitativos, cronogramas e planilhas orçamentárias necessários à adequada definição do empreendimento e à futura contratação de sua execução.</w:t>
      </w:r>
    </w:p>
    <w:p w14:paraId="1FC778E8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Fase de planejamento</w:t>
      </w:r>
    </w:p>
    <w:p w14:paraId="42762CFB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levantamento das informações necessárias ao desenvolvimento dos projetos (sondagem SPT, topografia);</w:t>
      </w:r>
    </w:p>
    <w:p w14:paraId="4AA864B6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elaboração dos projetos técnicos e documentos complementares;</w:t>
      </w:r>
    </w:p>
    <w:p w14:paraId="392C778E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definição das soluções de engenharia e arquitetura, incluindo acessibilidade e prevenção contra incêndio;</w:t>
      </w:r>
    </w:p>
    <w:p w14:paraId="79F34977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elaboração dos memoriais, quantitativos, cronogramas e orçamentos;</w:t>
      </w:r>
    </w:p>
    <w:p w14:paraId="055653FE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compatibilização entre as disciplinas envolvidas.</w:t>
      </w:r>
    </w:p>
    <w:p w14:paraId="5BE0F131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Fase de contratação e execução da obra</w:t>
      </w:r>
    </w:p>
    <w:p w14:paraId="5F91CE4C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disponibilização de documentação técnica adequada para instrução da futura licitação;</w:t>
      </w:r>
    </w:p>
    <w:p w14:paraId="77A43038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definição precisa dos quantitativos e custos estimados;</w:t>
      </w:r>
    </w:p>
    <w:p w14:paraId="70DAC2C9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redução de riscos de falhas de concepção, inconsistências técnicas e alterações contratuais;</w:t>
      </w:r>
    </w:p>
    <w:p w14:paraId="136F8F56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suporte técnico para esclarecimentos relativos aos projetos elaborados.</w:t>
      </w:r>
    </w:p>
    <w:p w14:paraId="39DA8287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Fase de operação e manutenção</w:t>
      </w:r>
    </w:p>
    <w:p w14:paraId="0ECE35EF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adoção de soluções técnicas que priorizem durabilidade, segurança, funcionalidade e facilidade de manutenção da arena e da quadra oficial;</w:t>
      </w:r>
    </w:p>
    <w:p w14:paraId="17F7D0D7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utilização de critérios que contribuam para a redução de custos operacionais e de manutenção ao longo da vida útil das estruturas;</w:t>
      </w:r>
    </w:p>
    <w:p w14:paraId="191398BB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observância das normas técnicas aplicáveis, visando maior desempenho e vida útil do empreendimento.</w:t>
      </w:r>
    </w:p>
    <w:p w14:paraId="1FD7027F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 xml:space="preserve">A solução inclui, ainda, a emissão das respectivas </w:t>
      </w:r>
      <w:proofErr w:type="spellStart"/>
      <w:r w:rsidRPr="00666CB3">
        <w:rPr>
          <w:rFonts w:eastAsia="Arial"/>
          <w:sz w:val="22"/>
          <w:szCs w:val="22"/>
        </w:rPr>
        <w:t>ARTs</w:t>
      </w:r>
      <w:proofErr w:type="spellEnd"/>
      <w:r w:rsidRPr="00666CB3">
        <w:rPr>
          <w:rFonts w:eastAsia="Arial"/>
          <w:sz w:val="22"/>
          <w:szCs w:val="22"/>
        </w:rPr>
        <w:t xml:space="preserve"> e/ou </w:t>
      </w:r>
      <w:proofErr w:type="spellStart"/>
      <w:r w:rsidRPr="00666CB3">
        <w:rPr>
          <w:rFonts w:eastAsia="Arial"/>
          <w:sz w:val="22"/>
          <w:szCs w:val="22"/>
        </w:rPr>
        <w:t>RRTs</w:t>
      </w:r>
      <w:proofErr w:type="spellEnd"/>
      <w:r w:rsidRPr="00666CB3">
        <w:rPr>
          <w:rFonts w:eastAsia="Arial"/>
          <w:sz w:val="22"/>
          <w:szCs w:val="22"/>
        </w:rPr>
        <w:t>, a compatibilização de todos os documentos produzidos e a entrega dos arquivos em formato editável e não editável, aptos à utilização pela Administração para análise, aprovação, licitação e futura execução do empreendimento, observando-se o princípio da visão sistêmica do ciclo de vida do objeto previsto no art. 5º da Lei nº 14.133/2021.</w:t>
      </w:r>
    </w:p>
    <w:p w14:paraId="1A5A36FF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16877D55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lastRenderedPageBreak/>
        <w:t>5. Requisitos da contratação</w:t>
      </w:r>
    </w:p>
    <w:p w14:paraId="66DFEC62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PESSOA JURÍDICA</w:t>
      </w:r>
    </w:p>
    <w:p w14:paraId="377C68E2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Declaração de que atende aos requisitos de habilitação (art. 63, I, da Lei nº 14.133/2021);</w:t>
      </w:r>
    </w:p>
    <w:p w14:paraId="3AD0748D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Declaração de cumprimento das exigências de reserva de cargos para pessoa com deficiência e para reabilitado da Previdência Social, nos termos do art. 93 da Lei nº 8.213/91 (art. 63, IV, da Lei nº 14.133/2021);</w:t>
      </w:r>
    </w:p>
    <w:p w14:paraId="6A1425E1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Declaração de que não incorre nos impedimentos legais;</w:t>
      </w:r>
    </w:p>
    <w:p w14:paraId="21FE0EB8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Declaração de cumprimento do disposto no inciso XXXIII do art. 7º da Constituição Federal (art. 68, VI);</w:t>
      </w:r>
    </w:p>
    <w:p w14:paraId="2A87647D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Habilitação Jurídica (art. 66 da Lei nº 14.133/2021)</w:t>
      </w:r>
    </w:p>
    <w:p w14:paraId="2726D95E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Cartão do CNPJ;</w:t>
      </w:r>
    </w:p>
    <w:p w14:paraId="186DA957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Estatuto ou contrato social;</w:t>
      </w:r>
    </w:p>
    <w:p w14:paraId="42063F4E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Habilitação Fiscal, Social e Trabalhista (art. 68 da Lei nº 14.133/2021)</w:t>
      </w:r>
    </w:p>
    <w:p w14:paraId="04B75EDE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Regularidade perante a Fazenda federal, estadual e municipal do domicílio ou sede do licitante;</w:t>
      </w:r>
    </w:p>
    <w:p w14:paraId="09BF21B9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Regularidade relativa à Seguridade Social e ao FGTS;</w:t>
      </w:r>
    </w:p>
    <w:p w14:paraId="047D7D18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Regularidade perante a Justiça do Trabalho;</w:t>
      </w:r>
    </w:p>
    <w:p w14:paraId="5D34AEC0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Qualificação Técnica</w:t>
      </w:r>
    </w:p>
    <w:p w14:paraId="61DDDFC8" w14:textId="49F3E60D" w:rsidR="00C34801" w:rsidRPr="00C34801" w:rsidRDefault="00C34801" w:rsidP="00C34801">
      <w:pPr>
        <w:pStyle w:val="PargrafodaLista"/>
        <w:numPr>
          <w:ilvl w:val="0"/>
          <w:numId w:val="1"/>
        </w:numPr>
        <w:jc w:val="both"/>
        <w:rPr>
          <w:rFonts w:eastAsia="Arial"/>
          <w:sz w:val="22"/>
          <w:szCs w:val="22"/>
        </w:rPr>
      </w:pPr>
      <w:r w:rsidRPr="00C34801">
        <w:rPr>
          <w:rFonts w:eastAsia="Arial"/>
          <w:sz w:val="22"/>
          <w:szCs w:val="22"/>
        </w:rPr>
        <w:t>Comprovação de capacitação técnico-operacional, mediante atestado de capacidade técnica, em nome da licitante, emitido por pessoa jurídica de direito público ou privado, relativo à elaboração de projeto de engenharia/arquitetura para edificação esportiva ou de porte e complexidade compatíveis, com área mínima de 2000m²;</w:t>
      </w:r>
    </w:p>
    <w:p w14:paraId="292FF9F7" w14:textId="77777777" w:rsidR="00C34801" w:rsidRPr="00C34801" w:rsidRDefault="00C34801" w:rsidP="00C34801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C34801">
        <w:rPr>
          <w:rFonts w:eastAsia="Arial"/>
          <w:sz w:val="22"/>
          <w:szCs w:val="22"/>
        </w:rPr>
        <w:t>Comprovação de capacidade técnico-profissional, mediante atestado de capacidade técnica em nome do responsável técnico da licitante, emitido por pessoa jurídica de direito público ou privado, relativo à elaboração de projeto de engenharia/arquitetura para edificação esportiva ou de porte e complexidade compatíveis, acompanhado da Certidão de Acervo Técnico (CAT), com área mínima de 2000m².</w:t>
      </w:r>
    </w:p>
    <w:p w14:paraId="6A56E423" w14:textId="47051629" w:rsidR="003331DB" w:rsidRPr="00666CB3" w:rsidRDefault="003331DB" w:rsidP="00C34801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Registro ou inscrição regular da empresa e do(s) responsável(</w:t>
      </w:r>
      <w:proofErr w:type="spellStart"/>
      <w:r w:rsidRPr="00666CB3">
        <w:rPr>
          <w:rFonts w:eastAsia="Arial"/>
          <w:sz w:val="22"/>
          <w:szCs w:val="22"/>
        </w:rPr>
        <w:t>is</w:t>
      </w:r>
      <w:proofErr w:type="spellEnd"/>
      <w:r w:rsidRPr="00666CB3">
        <w:rPr>
          <w:rFonts w:eastAsia="Arial"/>
          <w:sz w:val="22"/>
          <w:szCs w:val="22"/>
        </w:rPr>
        <w:t>) técnico(s) no CREA e/ou CAU, com indicação de objeto social compatível com o objeto licitado;</w:t>
      </w:r>
    </w:p>
    <w:p w14:paraId="227B00C9" w14:textId="56317F8E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 xml:space="preserve">Comprovação do vínculo jurídico do profissional indicado, mediante contrato de trabalho, ficha de registro de empregado, contrato social ou certidão de registro e quitação junto ao CREA/CAU ou qualquer outro meio idôneo, no prazo de 3 dias úteis a contar </w:t>
      </w:r>
      <w:r w:rsidR="009874CB">
        <w:rPr>
          <w:rFonts w:eastAsia="Arial"/>
          <w:sz w:val="22"/>
          <w:szCs w:val="22"/>
        </w:rPr>
        <w:t>do momento que for declarado vencedor</w:t>
      </w:r>
      <w:r w:rsidRPr="00666CB3">
        <w:rPr>
          <w:rFonts w:eastAsia="Arial"/>
          <w:sz w:val="22"/>
          <w:szCs w:val="22"/>
        </w:rPr>
        <w:t>.</w:t>
      </w:r>
    </w:p>
    <w:p w14:paraId="63D9F257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Comprovação de Condição de Microempresa ou Empresa de Pequeno Porte</w:t>
      </w:r>
    </w:p>
    <w:p w14:paraId="3B32CCD8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Certidão de enquadramento no Estatuto Nacional da Microempresa e Empresa de Pequeno Porte, quando aplicável, conforme legislação vigente.</w:t>
      </w:r>
    </w:p>
    <w:p w14:paraId="26E9611F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E demais documentos exigidos em lei e no edital.</w:t>
      </w:r>
    </w:p>
    <w:p w14:paraId="20380F9F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623FB641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6. Modelo de gestão do objeto e do contrato</w:t>
      </w:r>
    </w:p>
    <w:p w14:paraId="413FCD34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gestão do presente objeto será realizada pela Secretaria solicitante, sendo responsável pelo recebimento e fiscalização do contrato, observado o disposto no art. 117 da Lei nº 14.133/2021.</w:t>
      </w:r>
    </w:p>
    <w:p w14:paraId="47B02BD1" w14:textId="0A3B8CD7" w:rsidR="003331DB" w:rsidRPr="00EB0920" w:rsidRDefault="00EB0920" w:rsidP="00666CB3">
      <w:pPr>
        <w:jc w:val="both"/>
        <w:rPr>
          <w:sz w:val="22"/>
          <w:szCs w:val="22"/>
        </w:rPr>
      </w:pPr>
      <w:r w:rsidRPr="00EB0920">
        <w:rPr>
          <w:rFonts w:eastAsia="Calibri"/>
          <w:sz w:val="22"/>
          <w:szCs w:val="22"/>
        </w:rPr>
        <w:t xml:space="preserve">Designa-se como gestora do presente processo licitatório, a Sra. </w:t>
      </w:r>
      <w:r w:rsidRPr="00EB0920">
        <w:rPr>
          <w:rFonts w:eastAsia="Arial"/>
          <w:sz w:val="22"/>
          <w:szCs w:val="22"/>
        </w:rPr>
        <w:t xml:space="preserve">Marli Rosa </w:t>
      </w:r>
      <w:proofErr w:type="spellStart"/>
      <w:r w:rsidRPr="00EB0920">
        <w:rPr>
          <w:rFonts w:eastAsia="Arial"/>
          <w:sz w:val="22"/>
          <w:szCs w:val="22"/>
        </w:rPr>
        <w:t>Regner</w:t>
      </w:r>
      <w:proofErr w:type="spellEnd"/>
      <w:r w:rsidRPr="00EB0920">
        <w:rPr>
          <w:rFonts w:eastAsia="Arial"/>
          <w:sz w:val="22"/>
          <w:szCs w:val="22"/>
        </w:rPr>
        <w:t xml:space="preserve"> Camargo</w:t>
      </w:r>
      <w:r w:rsidRPr="00EB0920">
        <w:rPr>
          <w:rFonts w:eastAsia="Calibri"/>
          <w:sz w:val="22"/>
          <w:szCs w:val="22"/>
        </w:rPr>
        <w:t>, como fiscal o Sr. Valdemar Batista dos Santos</w:t>
      </w:r>
      <w:r w:rsidR="003331DB" w:rsidRPr="00EB0920">
        <w:rPr>
          <w:rFonts w:eastAsia="Arial"/>
          <w:sz w:val="22"/>
          <w:szCs w:val="22"/>
        </w:rPr>
        <w:t>, cabendo-lhes, entre outras atribuições previstas na legislação municipal aplicável:</w:t>
      </w:r>
    </w:p>
    <w:p w14:paraId="4C8DC84B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conferir a existência de empenho prévio à realização da despesa;</w:t>
      </w:r>
    </w:p>
    <w:p w14:paraId="7649B724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conferir a publicação tempestiva do extrato do contrato;</w:t>
      </w:r>
    </w:p>
    <w:p w14:paraId="0503CE60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acompanhar e fiscalizar a execução dos serviços em estrita observância ao edital e ao contrato;</w:t>
      </w:r>
    </w:p>
    <w:p w14:paraId="7E10FABC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registrar as ocorrências durante a execução contratual, notificando a contratada para sanar eventuais problemas em prazo hábil;</w:t>
      </w:r>
    </w:p>
    <w:p w14:paraId="6C6FF189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dar recebimento provisório e definitivo dos serviços mediante termo circunstanciado;</w:t>
      </w:r>
    </w:p>
    <w:p w14:paraId="1D91FCB3" w14:textId="77777777" w:rsidR="003331DB" w:rsidRPr="001951C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relatar à autoridade superior eventual inadimplência, sugerindo a aplicação das sanções cabíveis, garantido o contraditório e a ampla defesa.</w:t>
      </w:r>
    </w:p>
    <w:p w14:paraId="484FD039" w14:textId="77777777" w:rsidR="001951C3" w:rsidRPr="001951C3" w:rsidRDefault="001951C3" w:rsidP="001951C3">
      <w:pPr>
        <w:ind w:left="360"/>
        <w:jc w:val="both"/>
        <w:rPr>
          <w:sz w:val="22"/>
          <w:szCs w:val="22"/>
        </w:rPr>
      </w:pPr>
    </w:p>
    <w:p w14:paraId="0498101C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7. Modelo de execução do objeto</w:t>
      </w:r>
    </w:p>
    <w:p w14:paraId="58AEB4AC" w14:textId="0E8A0CCC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A execução dos serviços ocorrerá por escopo, mediante elaboração e entrega dos projetos técnicos e documentos complementares previstos neste Termo de Referência, no prazo de até 90 (noventa) dias corridos</w:t>
      </w:r>
      <w:r w:rsidR="006B0D31">
        <w:rPr>
          <w:rFonts w:eastAsia="Arial"/>
          <w:sz w:val="22"/>
          <w:szCs w:val="22"/>
        </w:rPr>
        <w:t>, conforme cronograma</w:t>
      </w:r>
      <w:r w:rsidRPr="00666CB3">
        <w:rPr>
          <w:rFonts w:eastAsia="Arial"/>
          <w:sz w:val="22"/>
          <w:szCs w:val="22"/>
        </w:rPr>
        <w:t>, contados da emissão da Ordem de Serviço ou Autorização de Fornecimento expedida pelo Município.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39"/>
        <w:gridCol w:w="846"/>
      </w:tblGrid>
      <w:tr w:rsidR="006B0D31" w:rsidRPr="006B0D31" w14:paraId="05F2149C" w14:textId="77777777" w:rsidTr="006B0D31">
        <w:tc>
          <w:tcPr>
            <w:tcW w:w="3539" w:type="dxa"/>
            <w:hideMark/>
          </w:tcPr>
          <w:p w14:paraId="3093170D" w14:textId="77777777" w:rsidR="006B0D31" w:rsidRPr="006B0D31" w:rsidRDefault="006B0D31" w:rsidP="006B0D31">
            <w:pPr>
              <w:jc w:val="both"/>
              <w:rPr>
                <w:b/>
                <w:bCs/>
                <w:sz w:val="22"/>
                <w:szCs w:val="22"/>
              </w:rPr>
            </w:pPr>
            <w:r w:rsidRPr="006B0D31">
              <w:rPr>
                <w:b/>
                <w:bCs/>
                <w:sz w:val="22"/>
                <w:szCs w:val="22"/>
              </w:rPr>
              <w:t>Etapa</w:t>
            </w:r>
          </w:p>
        </w:tc>
        <w:tc>
          <w:tcPr>
            <w:tcW w:w="0" w:type="auto"/>
            <w:hideMark/>
          </w:tcPr>
          <w:p w14:paraId="15E82577" w14:textId="77777777" w:rsidR="006B0D31" w:rsidRPr="006B0D31" w:rsidRDefault="006B0D31" w:rsidP="006B0D31">
            <w:pPr>
              <w:jc w:val="both"/>
              <w:rPr>
                <w:b/>
                <w:bCs/>
                <w:sz w:val="22"/>
                <w:szCs w:val="22"/>
              </w:rPr>
            </w:pPr>
            <w:r w:rsidRPr="006B0D31">
              <w:rPr>
                <w:b/>
                <w:bCs/>
                <w:sz w:val="22"/>
                <w:szCs w:val="22"/>
              </w:rPr>
              <w:t>Prazo</w:t>
            </w:r>
          </w:p>
        </w:tc>
      </w:tr>
      <w:tr w:rsidR="006B0D31" w:rsidRPr="006B0D31" w14:paraId="6B2FFCED" w14:textId="77777777" w:rsidTr="006B0D31">
        <w:tc>
          <w:tcPr>
            <w:tcW w:w="3539" w:type="dxa"/>
            <w:hideMark/>
          </w:tcPr>
          <w:p w14:paraId="330D5800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Levantamento topográfico e SPT</w:t>
            </w:r>
          </w:p>
        </w:tc>
        <w:tc>
          <w:tcPr>
            <w:tcW w:w="0" w:type="auto"/>
            <w:hideMark/>
          </w:tcPr>
          <w:p w14:paraId="21F5BBBD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20 dias</w:t>
            </w:r>
          </w:p>
        </w:tc>
      </w:tr>
      <w:tr w:rsidR="006B0D31" w:rsidRPr="006B0D31" w14:paraId="6C7FB21C" w14:textId="77777777" w:rsidTr="006B0D31">
        <w:tc>
          <w:tcPr>
            <w:tcW w:w="3539" w:type="dxa"/>
            <w:hideMark/>
          </w:tcPr>
          <w:p w14:paraId="2B0703F0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Anteprojeto arquitetônico</w:t>
            </w:r>
          </w:p>
        </w:tc>
        <w:tc>
          <w:tcPr>
            <w:tcW w:w="0" w:type="auto"/>
            <w:hideMark/>
          </w:tcPr>
          <w:p w14:paraId="472EE122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35 dias</w:t>
            </w:r>
          </w:p>
        </w:tc>
      </w:tr>
      <w:tr w:rsidR="006B0D31" w:rsidRPr="006B0D31" w14:paraId="67900769" w14:textId="77777777" w:rsidTr="006B0D31">
        <w:tc>
          <w:tcPr>
            <w:tcW w:w="3539" w:type="dxa"/>
            <w:hideMark/>
          </w:tcPr>
          <w:p w14:paraId="79E0D76D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Projetos complementares</w:t>
            </w:r>
          </w:p>
        </w:tc>
        <w:tc>
          <w:tcPr>
            <w:tcW w:w="0" w:type="auto"/>
            <w:hideMark/>
          </w:tcPr>
          <w:p w14:paraId="41B56928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60 dias</w:t>
            </w:r>
          </w:p>
        </w:tc>
      </w:tr>
      <w:tr w:rsidR="006B0D31" w:rsidRPr="006B0D31" w14:paraId="5D2E61A0" w14:textId="77777777" w:rsidTr="006B0D31">
        <w:tc>
          <w:tcPr>
            <w:tcW w:w="3539" w:type="dxa"/>
            <w:hideMark/>
          </w:tcPr>
          <w:p w14:paraId="1B7925DB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Orçamento e cronograma</w:t>
            </w:r>
          </w:p>
        </w:tc>
        <w:tc>
          <w:tcPr>
            <w:tcW w:w="0" w:type="auto"/>
            <w:hideMark/>
          </w:tcPr>
          <w:p w14:paraId="11AE0CD1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80 dias</w:t>
            </w:r>
          </w:p>
        </w:tc>
      </w:tr>
      <w:tr w:rsidR="006B0D31" w:rsidRPr="006B0D31" w14:paraId="09F78B39" w14:textId="77777777" w:rsidTr="006B0D31">
        <w:tc>
          <w:tcPr>
            <w:tcW w:w="3539" w:type="dxa"/>
            <w:hideMark/>
          </w:tcPr>
          <w:p w14:paraId="57641DB3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Entrega final compatibilizada</w:t>
            </w:r>
          </w:p>
        </w:tc>
        <w:tc>
          <w:tcPr>
            <w:tcW w:w="0" w:type="auto"/>
            <w:hideMark/>
          </w:tcPr>
          <w:p w14:paraId="36D44F6B" w14:textId="77777777" w:rsidR="006B0D31" w:rsidRPr="006B0D31" w:rsidRDefault="006B0D31" w:rsidP="006B0D31">
            <w:pPr>
              <w:jc w:val="both"/>
              <w:rPr>
                <w:sz w:val="22"/>
                <w:szCs w:val="22"/>
              </w:rPr>
            </w:pPr>
            <w:r w:rsidRPr="006B0D31">
              <w:rPr>
                <w:sz w:val="22"/>
                <w:szCs w:val="22"/>
              </w:rPr>
              <w:t>90 dias</w:t>
            </w:r>
          </w:p>
        </w:tc>
      </w:tr>
    </w:tbl>
    <w:p w14:paraId="415614A8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contratada deverá realizar visita técnica ao local de implantação do empreendimento, efetuando os levantamentos e verificações necessários ao adequado desenvolvimento dos projetos.</w:t>
      </w:r>
    </w:p>
    <w:p w14:paraId="1E6359A2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Entrega dos serviços</w:t>
      </w:r>
    </w:p>
    <w:p w14:paraId="64726534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Os serviços deverão contemplar a elaboração dos projetos, memoriais, quantitativos, cronogramas, orçamentos e demais documentos técnicos necessários à futura contratação da execução do empreendimento. A Administração poderá solicitar reuniões técnicas presenciais ou remotas durante o desenvolvimento dos trabalhos. Todos os projetos deverão ser compatibilizados entre si, cabendo à contratada a responsabilidade pela consistência das informações, quantitativos, memoriais, especificações e planilhas orçamentárias.</w:t>
      </w:r>
    </w:p>
    <w:p w14:paraId="13A1756D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Forma de apresentação dos documentos</w:t>
      </w:r>
    </w:p>
    <w:p w14:paraId="3422A1E7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arquivos digitais em formato editável compatível com os softwares utilizados para elaboração dos projetos;</w:t>
      </w:r>
    </w:p>
    <w:p w14:paraId="2FA9E373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arquivos em formato PDF assinados pelos respectivos responsáveis técnicos;</w:t>
      </w:r>
    </w:p>
    <w:p w14:paraId="23878606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memoriais descritivos, memoriais de cálculo, quantitativos, cronogramas físico-financeiros e planilhas orçamentárias;</w:t>
      </w:r>
    </w:p>
    <w:p w14:paraId="212D6674" w14:textId="77777777" w:rsidR="003331DB" w:rsidRPr="00666CB3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proofErr w:type="spellStart"/>
      <w:r w:rsidRPr="00666CB3">
        <w:rPr>
          <w:rFonts w:eastAsia="Arial"/>
          <w:sz w:val="22"/>
          <w:szCs w:val="22"/>
        </w:rPr>
        <w:t>ARTs</w:t>
      </w:r>
      <w:proofErr w:type="spellEnd"/>
      <w:r w:rsidRPr="00666CB3">
        <w:rPr>
          <w:rFonts w:eastAsia="Arial"/>
          <w:sz w:val="22"/>
          <w:szCs w:val="22"/>
        </w:rPr>
        <w:t xml:space="preserve"> e/ou </w:t>
      </w:r>
      <w:proofErr w:type="spellStart"/>
      <w:r w:rsidRPr="00666CB3">
        <w:rPr>
          <w:rFonts w:eastAsia="Arial"/>
          <w:sz w:val="22"/>
          <w:szCs w:val="22"/>
        </w:rPr>
        <w:t>RRTs</w:t>
      </w:r>
      <w:proofErr w:type="spellEnd"/>
      <w:r w:rsidRPr="00666CB3">
        <w:rPr>
          <w:rFonts w:eastAsia="Arial"/>
          <w:sz w:val="22"/>
          <w:szCs w:val="22"/>
        </w:rPr>
        <w:t xml:space="preserve"> correspondentes aos serviços executados;</w:t>
      </w:r>
    </w:p>
    <w:p w14:paraId="65C0348C" w14:textId="77777777" w:rsidR="003331DB" w:rsidRPr="009D461A" w:rsidRDefault="003331DB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cópias impressas dos documentos técnicos, em quantidade definida pela Administração quando do recebimento final.</w:t>
      </w:r>
    </w:p>
    <w:p w14:paraId="224264CD" w14:textId="19EABBE9" w:rsidR="009D461A" w:rsidRDefault="009D461A" w:rsidP="00666CB3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9D461A">
        <w:rPr>
          <w:sz w:val="22"/>
          <w:szCs w:val="22"/>
        </w:rPr>
        <w:t>Todos os desenhos deverão ser entregues em DWG (AutoCAD 2018 ou superior compatível), PDF e IFC quando houver modelagem BIM, além das planilhas em XLSX.</w:t>
      </w:r>
    </w:p>
    <w:p w14:paraId="0E7257E9" w14:textId="77230364" w:rsidR="00E633A9" w:rsidRPr="00E633A9" w:rsidRDefault="00E633A9" w:rsidP="00E633A9">
      <w:pPr>
        <w:pStyle w:val="PargrafodaLista"/>
        <w:numPr>
          <w:ilvl w:val="0"/>
          <w:numId w:val="1"/>
        </w:numPr>
        <w:contextualSpacing w:val="0"/>
        <w:jc w:val="both"/>
        <w:rPr>
          <w:sz w:val="22"/>
          <w:szCs w:val="22"/>
        </w:rPr>
      </w:pPr>
      <w:r w:rsidRPr="00E633A9">
        <w:rPr>
          <w:sz w:val="22"/>
          <w:szCs w:val="22"/>
        </w:rPr>
        <w:t xml:space="preserve">Seguir a </w:t>
      </w:r>
      <w:hyperlink r:id="rId8" w:tgtFrame="_blank" w:history="1">
        <w:r w:rsidRPr="00E633A9">
          <w:rPr>
            <w:rStyle w:val="Hyperlink"/>
            <w:color w:val="auto"/>
            <w:sz w:val="22"/>
            <w:szCs w:val="22"/>
            <w:u w:val="none"/>
          </w:rPr>
          <w:t>OT – IBR 008/2020 – Projeto Executivo</w:t>
        </w:r>
      </w:hyperlink>
      <w:r w:rsidRPr="00E633A9">
        <w:rPr>
          <w:sz w:val="22"/>
          <w:szCs w:val="22"/>
        </w:rPr>
        <w:t xml:space="preserve"> </w:t>
      </w:r>
      <w:proofErr w:type="gramStart"/>
      <w:r w:rsidRPr="00E633A9">
        <w:rPr>
          <w:sz w:val="22"/>
          <w:szCs w:val="22"/>
        </w:rPr>
        <w:t>da  IBRAOP</w:t>
      </w:r>
      <w:proofErr w:type="gramEnd"/>
      <w:r w:rsidRPr="00E633A9">
        <w:rPr>
          <w:sz w:val="22"/>
          <w:szCs w:val="22"/>
        </w:rPr>
        <w:t xml:space="preserve"> </w:t>
      </w:r>
      <w:proofErr w:type="gramStart"/>
      <w:r w:rsidRPr="00E633A9">
        <w:rPr>
          <w:sz w:val="22"/>
          <w:szCs w:val="22"/>
        </w:rPr>
        <w:t>( Instituto</w:t>
      </w:r>
      <w:proofErr w:type="gramEnd"/>
      <w:r w:rsidRPr="00E633A9">
        <w:rPr>
          <w:sz w:val="22"/>
          <w:szCs w:val="22"/>
        </w:rPr>
        <w:t xml:space="preserve"> Brasileiro de Auditoria de Obras Públicas).</w:t>
      </w:r>
    </w:p>
    <w:p w14:paraId="19ACD8D8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Análise e aprovação</w:t>
      </w:r>
    </w:p>
    <w:p w14:paraId="1707A539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 recebimento dos produtos ficará condicionado à análise e aprovação da equipe técnica do Município. Caso sejam identificadas inconsistências, falhas, incompatibilidades ou necessidade de adequações, a contratada será notificada para promover as correções necessárias, sem ônus adicional para a Administração. A aprovação dos projetos pela Administração não afasta a responsabilidade técnica da contratada pelos serviços prestados.</w:t>
      </w:r>
    </w:p>
    <w:p w14:paraId="1B5A2B84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Aprovação junto a órgãos competentes</w:t>
      </w:r>
    </w:p>
    <w:p w14:paraId="6D441615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Quando exigido pela natureza do projeto (em especial o PPCI junto ao Corpo de Bombeiros), a contratada deverá promover os ajustes necessários para obtenção das aprovações, licenças, anuências ou validações junto aos órgãos competentes.</w:t>
      </w:r>
    </w:p>
    <w:p w14:paraId="3FC22447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68100722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8. Critérios de medição e de pagamento</w:t>
      </w:r>
    </w:p>
    <w:p w14:paraId="49EE8595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Para o pagamento pela Administração Pública Municipal, será observada a ordem cronológica para cada fonte diferenciada de recursos, devendo ser apresentada a nota fiscal devidamente atestada pelo servidor responsável. O pagamento será efetuado em até 30 (trinta) dias, após a certificação da Nota Fiscal Eletrônica – NF-e correspondente à entrega e aprovação dos produtos técnicos, mediante transferência na conta corrente da contratada.</w:t>
      </w:r>
    </w:p>
    <w:p w14:paraId="5E8783FD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lastRenderedPageBreak/>
        <w:t>Na opção pela transferência bancária para instituição financeira diversa daquela em que estiver depositado o recurso público, caberá ao fornecedor arcar com as despesas da TED/DOC/PIX. Qualquer pagamento somente será realizado quando a empresa contratada estiver regular em relação ao edital.</w:t>
      </w:r>
    </w:p>
    <w:p w14:paraId="2F7D02AE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0FDF591B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9. Forma e critérios de seleção do fornecedor</w:t>
      </w:r>
    </w:p>
    <w:p w14:paraId="066A0C45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seleção do fornecedor será realizada por meio de licitação na modalidade Pregão, na forma eletrônica, nos termos da Lei nº 14.133/2021, por se tratar de serviço comum de engenharia cujos padrões de desempenho e qualidade podem ser objetivamente definidos por meio das especificações constantes deste Termo de Referência.</w:t>
      </w:r>
    </w:p>
    <w:p w14:paraId="2D657408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 critério de julgamento será o de menor preço, observados os requisitos de habilitação e as especificações técnicas estabelecidas no edital e seus anexos.</w:t>
      </w:r>
    </w:p>
    <w:p w14:paraId="28211CE4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Poderão participar do certame empresas legalmente constituídas e habilitadas para a execução dos serviços, observadas as exigências de qualificação técnica, operacional e profissional estabelecidas no edital, especialmente quanto ao registro nos conselhos profissionais competentes e à comprovação de capacidade técnica compatível com o objeto da contratação.</w:t>
      </w:r>
    </w:p>
    <w:p w14:paraId="4ED98839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195E2355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10. Estimativa do valor da contratação</w:t>
      </w:r>
    </w:p>
    <w:p w14:paraId="4B7E38D0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estimativa do valor da contratação foi elaborada com fundamento no art. 23 da Lei nº 14.133/2021, mediante pesquisa de preços para objeto de natureza e escopo equivalentes (elaboração de projetos de arquitetura e engenharia para arena/quadra esportiva de grande porte), tendo sido obtidos os seguintes orçamentos de referência:</w:t>
      </w:r>
    </w:p>
    <w:tbl>
      <w:tblPr>
        <w:tblW w:w="93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8"/>
        <w:gridCol w:w="2977"/>
        <w:gridCol w:w="2268"/>
        <w:gridCol w:w="1163"/>
        <w:gridCol w:w="1181"/>
      </w:tblGrid>
      <w:tr w:rsidR="003331DB" w:rsidRPr="00666CB3" w14:paraId="0748B420" w14:textId="77777777" w:rsidTr="009D461A">
        <w:tc>
          <w:tcPr>
            <w:tcW w:w="17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66199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Nº</w:t>
            </w:r>
          </w:p>
        </w:tc>
        <w:tc>
          <w:tcPr>
            <w:tcW w:w="29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B02D9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Órgão / Fonte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917A0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Identificação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C11F8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Data</w:t>
            </w:r>
          </w:p>
        </w:tc>
        <w:tc>
          <w:tcPr>
            <w:tcW w:w="11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75B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A1D74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color w:val="FFFFFF"/>
                <w:sz w:val="22"/>
                <w:szCs w:val="22"/>
              </w:rPr>
              <w:t>Valor (R$)</w:t>
            </w:r>
          </w:p>
        </w:tc>
      </w:tr>
      <w:tr w:rsidR="003331DB" w:rsidRPr="00666CB3" w14:paraId="2F245201" w14:textId="77777777" w:rsidTr="009D461A">
        <w:tc>
          <w:tcPr>
            <w:tcW w:w="17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2DFF5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738D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Município de Terra Boa/PR (Compras Governamentais – PNCP)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BAEE2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Concorrência Eletrônica 75793786000140-1-000217/2025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0D298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14/11/2025</w:t>
            </w:r>
          </w:p>
        </w:tc>
        <w:tc>
          <w:tcPr>
            <w:tcW w:w="11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BD76E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120.000,00</w:t>
            </w:r>
          </w:p>
        </w:tc>
      </w:tr>
      <w:tr w:rsidR="003331DB" w:rsidRPr="00666CB3" w14:paraId="3E391CC9" w14:textId="77777777" w:rsidTr="009D461A">
        <w:tc>
          <w:tcPr>
            <w:tcW w:w="17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ACF4D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F75C4" w14:textId="77777777" w:rsidR="003331DB" w:rsidRPr="00666CB3" w:rsidRDefault="003331DB" w:rsidP="009D461A">
            <w:pPr>
              <w:ind w:right="8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PM de São José do Ouro/RS (TCE/RS)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5D445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Processo de Dispensa 58600-19-2026-PRD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D1C67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12/03/2026</w:t>
            </w:r>
          </w:p>
        </w:tc>
        <w:tc>
          <w:tcPr>
            <w:tcW w:w="11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7843E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27.449,40</w:t>
            </w:r>
          </w:p>
        </w:tc>
      </w:tr>
      <w:tr w:rsidR="003331DB" w:rsidRPr="00666CB3" w14:paraId="454B4271" w14:textId="77777777" w:rsidTr="009D461A">
        <w:tc>
          <w:tcPr>
            <w:tcW w:w="17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211D4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2BE71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Prefeitura Municipal de Realeza/PR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0D961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Dispensa MR-72026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04065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27/02/2026</w:t>
            </w:r>
          </w:p>
        </w:tc>
        <w:tc>
          <w:tcPr>
            <w:tcW w:w="11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33A95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72.000,00</w:t>
            </w:r>
          </w:p>
        </w:tc>
      </w:tr>
      <w:tr w:rsidR="003331DB" w:rsidRPr="00666CB3" w14:paraId="54432CF7" w14:textId="77777777" w:rsidTr="009D461A">
        <w:tc>
          <w:tcPr>
            <w:tcW w:w="17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0BA7F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F84FD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Município de Santo Antônio do Sudoeste/PR (objeto de idêntica natureza: arena esportiva de 4.000 m²)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D9249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Dispensa MSAS-772025</w:t>
            </w:r>
          </w:p>
        </w:tc>
        <w:tc>
          <w:tcPr>
            <w:tcW w:w="1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1D317" w14:textId="77777777" w:rsidR="003331DB" w:rsidRPr="00666CB3" w:rsidRDefault="003331DB" w:rsidP="00666CB3">
            <w:pPr>
              <w:jc w:val="center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16/07/2025</w:t>
            </w:r>
          </w:p>
        </w:tc>
        <w:tc>
          <w:tcPr>
            <w:tcW w:w="11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BC14A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sz w:val="22"/>
                <w:szCs w:val="22"/>
              </w:rPr>
              <w:t>78.000,00</w:t>
            </w:r>
          </w:p>
        </w:tc>
      </w:tr>
      <w:tr w:rsidR="003331DB" w:rsidRPr="00666CB3" w14:paraId="1D36C2AE" w14:textId="77777777" w:rsidTr="009D461A">
        <w:trPr>
          <w:gridAfter w:val="2"/>
          <w:wAfter w:w="2344" w:type="dxa"/>
        </w:trPr>
        <w:tc>
          <w:tcPr>
            <w:tcW w:w="17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0EDF4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sz w:val="22"/>
                <w:szCs w:val="22"/>
              </w:rPr>
              <w:t>Mediana dos preços obtidos (valor de referência adotado)</w:t>
            </w:r>
          </w:p>
        </w:tc>
        <w:tc>
          <w:tcPr>
            <w:tcW w:w="29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56488" w14:textId="77777777" w:rsidR="003331DB" w:rsidRPr="00666CB3" w:rsidRDefault="003331DB" w:rsidP="00666CB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EACC5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sz w:val="22"/>
                <w:szCs w:val="22"/>
              </w:rPr>
              <w:t>75.000,00</w:t>
            </w:r>
          </w:p>
        </w:tc>
      </w:tr>
      <w:tr w:rsidR="003331DB" w:rsidRPr="00666CB3" w14:paraId="620EA6D5" w14:textId="77777777" w:rsidTr="009D461A">
        <w:trPr>
          <w:gridAfter w:val="2"/>
          <w:wAfter w:w="2344" w:type="dxa"/>
        </w:trPr>
        <w:tc>
          <w:tcPr>
            <w:tcW w:w="17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76121" w14:textId="77777777" w:rsidR="003331DB" w:rsidRPr="00666CB3" w:rsidRDefault="003331DB" w:rsidP="00666CB3">
            <w:pPr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sz w:val="22"/>
                <w:szCs w:val="22"/>
              </w:rPr>
              <w:t>Média aritmética dos preços obtidos</w:t>
            </w:r>
          </w:p>
        </w:tc>
        <w:tc>
          <w:tcPr>
            <w:tcW w:w="29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199C" w14:textId="77777777" w:rsidR="003331DB" w:rsidRPr="00666CB3" w:rsidRDefault="003331DB" w:rsidP="00666CB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161B8" w14:textId="77777777" w:rsidR="003331DB" w:rsidRPr="00666CB3" w:rsidRDefault="003331DB" w:rsidP="00666CB3">
            <w:pPr>
              <w:jc w:val="right"/>
              <w:rPr>
                <w:sz w:val="22"/>
                <w:szCs w:val="22"/>
              </w:rPr>
            </w:pPr>
            <w:r w:rsidRPr="00666CB3">
              <w:rPr>
                <w:rFonts w:eastAsia="Arial"/>
                <w:b/>
                <w:bCs/>
                <w:sz w:val="22"/>
                <w:szCs w:val="22"/>
              </w:rPr>
              <w:t>74.362,35</w:t>
            </w:r>
          </w:p>
        </w:tc>
      </w:tr>
    </w:tbl>
    <w:p w14:paraId="67233529" w14:textId="77777777" w:rsidR="003331DB" w:rsidRPr="00666CB3" w:rsidRDefault="003331DB" w:rsidP="00666CB3">
      <w:pPr>
        <w:jc w:val="both"/>
        <w:rPr>
          <w:sz w:val="22"/>
          <w:szCs w:val="22"/>
        </w:rPr>
      </w:pPr>
    </w:p>
    <w:p w14:paraId="4CBB426E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Valor total estimado da contratação: R$ 75.000,00 (setenta e cinco mil reais), correspondente à mediana dos preços obtidos, por se mostrar mais representativa diante da amplitude de valores coletados e por reduzir a influência de valores extremos (outliers).</w:t>
      </w:r>
    </w:p>
    <w:p w14:paraId="46F05C50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lastRenderedPageBreak/>
        <w:t>Os documentos que fundamentam a estimativa de preços, incluindo o mapa comparativo de preços em planilha eletrônica, a memória de cálculo e os parâmetros utilizados na pesquisa de mercado, integram o processo administrativo da contratação e servem de suporte à formação do valor estimado, em conformidade com a Lei nº 14.133/2021.</w:t>
      </w:r>
    </w:p>
    <w:p w14:paraId="1C797FED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0E12478D" w14:textId="77777777" w:rsidR="003331DB" w:rsidRPr="00666CB3" w:rsidRDefault="003331DB" w:rsidP="000524BC">
      <w:pPr>
        <w:jc w:val="both"/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11. Indicação dos locais de entrega dos produtos e das regras para recebimento provisório e definitivo</w:t>
      </w:r>
    </w:p>
    <w:p w14:paraId="6E4FA192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execução dos serviços será formalmente iniciada mediante emissão de Ordem de Serviço ou Autorização de Fornecimento pela Administração Municipal.</w:t>
      </w:r>
    </w:p>
    <w:p w14:paraId="7FF64476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Os projetos, estudos, memoriais, planilhas orçamentárias e demais documentos técnicos deverão ser entregues junto ao Setor de Engenharia da Prefeitura Municipal de Palmitos/SC, em meio físico e digital, observadas as exigências estabelecidas neste Termo de Referência.</w:t>
      </w:r>
    </w:p>
    <w:p w14:paraId="25AD6EC3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Recebimento provisório</w:t>
      </w:r>
    </w:p>
    <w:p w14:paraId="097EE71D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 xml:space="preserve">Nos termos do art. 140 da Lei nº 14.133/2021, o recebimento provisório ocorrerá mediante termo circunstanciado emitido pelo fiscal do contrato ou pela equipe técnica designada, após a entrega dos documentos técnicos pela contratada, verificando-se a entrega de todos os produtos previstos, a conformidade formal da documentação e a existência das </w:t>
      </w:r>
      <w:proofErr w:type="spellStart"/>
      <w:r w:rsidRPr="00666CB3">
        <w:rPr>
          <w:rFonts w:eastAsia="Arial"/>
          <w:sz w:val="22"/>
          <w:szCs w:val="22"/>
        </w:rPr>
        <w:t>ARTs</w:t>
      </w:r>
      <w:proofErr w:type="spellEnd"/>
      <w:r w:rsidRPr="00666CB3">
        <w:rPr>
          <w:rFonts w:eastAsia="Arial"/>
          <w:sz w:val="22"/>
          <w:szCs w:val="22"/>
        </w:rPr>
        <w:t>/</w:t>
      </w:r>
      <w:proofErr w:type="spellStart"/>
      <w:r w:rsidRPr="00666CB3">
        <w:rPr>
          <w:rFonts w:eastAsia="Arial"/>
          <w:sz w:val="22"/>
          <w:szCs w:val="22"/>
        </w:rPr>
        <w:t>RRTs</w:t>
      </w:r>
      <w:proofErr w:type="spellEnd"/>
      <w:r w:rsidRPr="00666CB3">
        <w:rPr>
          <w:rFonts w:eastAsia="Arial"/>
          <w:sz w:val="22"/>
          <w:szCs w:val="22"/>
        </w:rPr>
        <w:t xml:space="preserve"> exigidas.</w:t>
      </w:r>
    </w:p>
    <w:p w14:paraId="647506D2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Recebimento definitivo</w:t>
      </w:r>
    </w:p>
    <w:p w14:paraId="78938479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O recebimento definitivo ocorrerá após análise técnica detalhada dos projetos e demais documentos entregues, mediante emissão de termo de recebimento definitivo por servidor ou comissão designada pela autoridade competente, verificando-se a adequação técnica dos projetos, a compatibilização entre disciplinas, a consistência dos memoriais, quantitativos e orçamentos, e o atendimento às normas técnicas aplicáveis, inclusive quanto à acessibilidade e ao PPCI.</w:t>
      </w:r>
    </w:p>
    <w:p w14:paraId="4E4DFC29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Caso sejam identificadas inconsistências, falhas, incompatibilidades ou necessidade de complementações, a contratada será formalmente notificada para promover as correções necessárias, sem ônus adicional para a Administração, no prazo máximo de 10 (dez) dias úteis, salvo prazo diverso definido pela fiscalização em razão da complexidade dos ajustes necessários. O recebimento provisório ou definitivo não exclui a responsabilidade técnica da contratada pelos serviços executados.</w:t>
      </w:r>
    </w:p>
    <w:p w14:paraId="3160833E" w14:textId="77777777" w:rsidR="000524BC" w:rsidRPr="00666CB3" w:rsidRDefault="000524BC" w:rsidP="00666CB3">
      <w:pPr>
        <w:jc w:val="both"/>
        <w:rPr>
          <w:sz w:val="22"/>
          <w:szCs w:val="22"/>
        </w:rPr>
      </w:pPr>
    </w:p>
    <w:p w14:paraId="20CF8172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12. Da adequação orçamentária</w:t>
      </w:r>
    </w:p>
    <w:p w14:paraId="53A5B001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contratação pretendida possui previsão de recursos orçamentários suficientes para suportar as despesas decorrentes da execução do objeto, observadas as dotações consignadas no orçamento vigente do Município de Palmitos/SC.</w:t>
      </w:r>
    </w:p>
    <w:p w14:paraId="165DFC0B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As despesas correrão por conta da(s) seguinte(s) dotação(</w:t>
      </w:r>
      <w:proofErr w:type="spellStart"/>
      <w:r w:rsidRPr="00666CB3">
        <w:rPr>
          <w:rFonts w:eastAsia="Arial"/>
          <w:sz w:val="22"/>
          <w:szCs w:val="22"/>
        </w:rPr>
        <w:t>ões</w:t>
      </w:r>
      <w:proofErr w:type="spellEnd"/>
      <w:r w:rsidRPr="00666CB3">
        <w:rPr>
          <w:rFonts w:eastAsia="Arial"/>
          <w:sz w:val="22"/>
          <w:szCs w:val="22"/>
        </w:rPr>
        <w:t>) orçamentária(s):</w:t>
      </w:r>
    </w:p>
    <w:p w14:paraId="5FFC55BA" w14:textId="5A88CE6C" w:rsidR="003331DB" w:rsidRDefault="00206358" w:rsidP="0020635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06358">
        <w:rPr>
          <w:sz w:val="22"/>
          <w:szCs w:val="22"/>
        </w:rPr>
        <w:t>05.007 - FUNDO MUNICIPAL DE ESPORTES</w:t>
      </w:r>
    </w:p>
    <w:p w14:paraId="0A8E97CB" w14:textId="4BAA4550" w:rsidR="00206358" w:rsidRDefault="00206358" w:rsidP="00206358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206358">
        <w:rPr>
          <w:sz w:val="22"/>
          <w:szCs w:val="22"/>
        </w:rPr>
        <w:t>1.014 - OBRAS DE CONSTRUÇÃO, AMPLIAÇÃO, ADAPTAÇÃO E REFORMA DE CENTROS ESPORTIVOS, RECREATIVOS, COMUNITÁRIOS</w:t>
      </w:r>
    </w:p>
    <w:p w14:paraId="6E71A785" w14:textId="5C6E4788" w:rsidR="003331DB" w:rsidRPr="00666CB3" w:rsidRDefault="00206358" w:rsidP="00206358">
      <w:pPr>
        <w:pStyle w:val="NormalWeb"/>
        <w:spacing w:before="0" w:beforeAutospacing="0" w:after="0" w:afterAutospacing="0"/>
        <w:rPr>
          <w:sz w:val="22"/>
          <w:szCs w:val="22"/>
          <w:highlight w:val="yellow"/>
        </w:rPr>
      </w:pPr>
      <w:r w:rsidRPr="00206358">
        <w:rPr>
          <w:sz w:val="22"/>
          <w:szCs w:val="22"/>
        </w:rPr>
        <w:t>110 - 4.4.90.00.00.00.00.00 - APLICACOES DIRETAS 1.500.0000.0000 - RECURSOS ORDINÁRIOS</w:t>
      </w:r>
    </w:p>
    <w:p w14:paraId="19348930" w14:textId="77777777" w:rsidR="003331DB" w:rsidRDefault="003331DB" w:rsidP="00666CB3">
      <w:pPr>
        <w:jc w:val="both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A Administração certifica a existência de disponibilidade orçamentária para a contratação, observadas as exigências da Lei Complementar nº 101/2000 (Lei de Responsabilidade Fiscal), da Lei nº 4.320/1964 e da Lei nº 14.133/2021.</w:t>
      </w:r>
    </w:p>
    <w:p w14:paraId="7473FA00" w14:textId="77777777" w:rsidR="001951C3" w:rsidRPr="00666CB3" w:rsidRDefault="001951C3" w:rsidP="00666CB3">
      <w:pPr>
        <w:jc w:val="both"/>
        <w:rPr>
          <w:sz w:val="22"/>
          <w:szCs w:val="22"/>
        </w:rPr>
      </w:pPr>
    </w:p>
    <w:p w14:paraId="0F7FB142" w14:textId="77777777" w:rsidR="003331DB" w:rsidRPr="00666CB3" w:rsidRDefault="003331DB" w:rsidP="00666CB3">
      <w:pPr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  <w:u w:val="single"/>
        </w:rPr>
        <w:t>13. Especificação da garantia exigida e das condições de manutenção e assistência técnica</w:t>
      </w:r>
    </w:p>
    <w:p w14:paraId="30BFFB02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contratada responderá pela qualidade técnica dos serviços executados e pela consistência dos projetos, estudos, memoriais, quantitativos, orçamentos e demais documentos produzidos, permanecendo responsável pela correção de erros, omissões, incompatibilidades ou inadequações eventualmente identificadas.</w:t>
      </w:r>
    </w:p>
    <w:p w14:paraId="500D40E2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Após o recebimento definitivo dos serviços, a contratada deverá promover, sem ônus para a Administração, as correções e adequações necessárias decorrentes de falhas de elaboração, incompatibilidades entre disciplinas, erros de dimensionamento ou inconsistências de quantitativos, memoriais ou planilhas orçamentárias que sejam atribuíveis aos serviços executados.</w:t>
      </w:r>
    </w:p>
    <w:p w14:paraId="277F110B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lastRenderedPageBreak/>
        <w:t>A contratada deverá prestar assistência técnica ao Município sempre que solicitado, especialmente durante a fase de licitação da futura obra, a análise de propostas, a execução da obra decorrente dos projetos elaborados e eventuais adequações técnicas exigidas por órgãos de controle ou licenciadores.</w:t>
      </w:r>
    </w:p>
    <w:p w14:paraId="50BD9EE6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Durante o período de até 03 (três) anos contados do recebimento definitivo dos serviços, a contratada deverá fornecer suporte técnico para atualização de planilhas orçamentárias, revisão de quantitativos e adequações técnicas decorrentes de alterações normativas, desde que não impliquem modificação substancial do escopo originalmente contratado.</w:t>
      </w:r>
    </w:p>
    <w:p w14:paraId="1585B779" w14:textId="77777777" w:rsidR="003331DB" w:rsidRPr="00666CB3" w:rsidRDefault="003331DB" w:rsidP="00666CB3">
      <w:pPr>
        <w:jc w:val="both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A responsabilidade técnica da contratada permanecerá regida pela legislação profissional aplicável, pelas normas dos respectivos conselhos profissionais e pelas disposições da Lei nº 14.133/2021.</w:t>
      </w:r>
    </w:p>
    <w:p w14:paraId="6AB35E25" w14:textId="77777777" w:rsidR="001951C3" w:rsidRDefault="001951C3" w:rsidP="00666CB3">
      <w:pPr>
        <w:ind w:firstLine="708"/>
        <w:rPr>
          <w:rFonts w:eastAsia="Arial"/>
          <w:sz w:val="22"/>
          <w:szCs w:val="22"/>
        </w:rPr>
      </w:pPr>
    </w:p>
    <w:p w14:paraId="45DC4F3C" w14:textId="586D0DB3" w:rsidR="003331DB" w:rsidRDefault="003331DB" w:rsidP="00666CB3">
      <w:pPr>
        <w:ind w:firstLine="708"/>
        <w:rPr>
          <w:rFonts w:eastAsia="Arial"/>
          <w:sz w:val="22"/>
          <w:szCs w:val="22"/>
        </w:rPr>
      </w:pPr>
      <w:r w:rsidRPr="00666CB3">
        <w:rPr>
          <w:rFonts w:eastAsia="Arial"/>
          <w:sz w:val="22"/>
          <w:szCs w:val="22"/>
        </w:rPr>
        <w:t>Palmitos/SC, 1</w:t>
      </w:r>
      <w:r w:rsidR="001951C3">
        <w:rPr>
          <w:rFonts w:eastAsia="Arial"/>
          <w:sz w:val="22"/>
          <w:szCs w:val="22"/>
        </w:rPr>
        <w:t>4</w:t>
      </w:r>
      <w:r w:rsidRPr="00666CB3">
        <w:rPr>
          <w:rFonts w:eastAsia="Arial"/>
          <w:sz w:val="22"/>
          <w:szCs w:val="22"/>
        </w:rPr>
        <w:t xml:space="preserve"> de setembro de 2026.</w:t>
      </w:r>
    </w:p>
    <w:p w14:paraId="705AF30D" w14:textId="77777777" w:rsidR="001951C3" w:rsidRDefault="001951C3" w:rsidP="00666CB3">
      <w:pPr>
        <w:ind w:firstLine="708"/>
        <w:rPr>
          <w:rFonts w:eastAsia="Arial"/>
          <w:sz w:val="22"/>
          <w:szCs w:val="22"/>
        </w:rPr>
      </w:pPr>
    </w:p>
    <w:p w14:paraId="4E604D31" w14:textId="77777777" w:rsidR="001951C3" w:rsidRPr="00666CB3" w:rsidRDefault="001951C3" w:rsidP="00666CB3">
      <w:pPr>
        <w:ind w:firstLine="708"/>
        <w:rPr>
          <w:rFonts w:eastAsia="Arial"/>
          <w:sz w:val="22"/>
          <w:szCs w:val="22"/>
        </w:rPr>
      </w:pPr>
    </w:p>
    <w:p w14:paraId="2FD88611" w14:textId="77777777" w:rsidR="003331DB" w:rsidRPr="00666CB3" w:rsidRDefault="003331DB" w:rsidP="00666CB3">
      <w:pPr>
        <w:rPr>
          <w:sz w:val="22"/>
          <w:szCs w:val="22"/>
        </w:rPr>
      </w:pPr>
    </w:p>
    <w:p w14:paraId="209C08C7" w14:textId="77777777" w:rsidR="003331DB" w:rsidRPr="00666CB3" w:rsidRDefault="003331DB" w:rsidP="00666CB3">
      <w:pPr>
        <w:jc w:val="center"/>
        <w:rPr>
          <w:sz w:val="22"/>
          <w:szCs w:val="22"/>
        </w:rPr>
      </w:pPr>
      <w:r w:rsidRPr="00666CB3">
        <w:rPr>
          <w:rFonts w:eastAsia="Arial"/>
          <w:sz w:val="22"/>
          <w:szCs w:val="22"/>
        </w:rPr>
        <w:t>____________________________________________</w:t>
      </w:r>
    </w:p>
    <w:p w14:paraId="1D098287" w14:textId="77777777" w:rsidR="003331DB" w:rsidRPr="00666CB3" w:rsidRDefault="003331DB" w:rsidP="00666CB3">
      <w:pPr>
        <w:jc w:val="center"/>
        <w:rPr>
          <w:rFonts w:eastAsia="Arial"/>
          <w:b/>
          <w:bCs/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 xml:space="preserve">MARLI ROSA REGNER CAMARGO </w:t>
      </w:r>
    </w:p>
    <w:p w14:paraId="10E12C6B" w14:textId="77777777" w:rsidR="003331DB" w:rsidRPr="00666CB3" w:rsidRDefault="003331DB" w:rsidP="00666CB3">
      <w:pPr>
        <w:jc w:val="center"/>
        <w:rPr>
          <w:sz w:val="22"/>
          <w:szCs w:val="22"/>
        </w:rPr>
      </w:pPr>
      <w:r w:rsidRPr="00666CB3">
        <w:rPr>
          <w:rFonts w:eastAsia="Arial"/>
          <w:b/>
          <w:bCs/>
          <w:sz w:val="22"/>
          <w:szCs w:val="22"/>
        </w:rPr>
        <w:t>Secretária Municipal de Educação, Cultura e Esporte</w:t>
      </w:r>
    </w:p>
    <w:p w14:paraId="42973496" w14:textId="77777777" w:rsidR="003331DB" w:rsidRPr="00666CB3" w:rsidRDefault="003331DB" w:rsidP="00666CB3">
      <w:pPr>
        <w:rPr>
          <w:sz w:val="22"/>
          <w:szCs w:val="22"/>
        </w:rPr>
      </w:pPr>
    </w:p>
    <w:sectPr w:rsidR="003331DB" w:rsidRPr="00666CB3" w:rsidSect="00ED67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9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9302" w14:textId="77777777" w:rsidR="004B4403" w:rsidRDefault="004B4403" w:rsidP="003F2895">
      <w:r>
        <w:separator/>
      </w:r>
    </w:p>
  </w:endnote>
  <w:endnote w:type="continuationSeparator" w:id="0">
    <w:p w14:paraId="67DE65F0" w14:textId="77777777" w:rsidR="004B4403" w:rsidRDefault="004B4403" w:rsidP="003F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33096" w14:textId="77777777" w:rsidR="003F2895" w:rsidRDefault="003F289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F665" w14:textId="77777777" w:rsidR="003F2895" w:rsidRDefault="003F289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B4E6" w14:textId="77777777" w:rsidR="003F2895" w:rsidRDefault="003F28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31FAD" w14:textId="77777777" w:rsidR="004B4403" w:rsidRDefault="004B4403" w:rsidP="003F2895">
      <w:r>
        <w:separator/>
      </w:r>
    </w:p>
  </w:footnote>
  <w:footnote w:type="continuationSeparator" w:id="0">
    <w:p w14:paraId="54A58958" w14:textId="77777777" w:rsidR="004B4403" w:rsidRDefault="004B4403" w:rsidP="003F2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85E31" w14:textId="77777777" w:rsidR="003F2895" w:rsidRDefault="003F289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C107" w14:textId="69DF3EB1" w:rsidR="003F2895" w:rsidRDefault="003F2895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750396" wp14:editId="7B693910">
          <wp:simplePos x="0" y="0"/>
          <wp:positionH relativeFrom="page">
            <wp:align>left</wp:align>
          </wp:positionH>
          <wp:positionV relativeFrom="paragraph">
            <wp:posOffset>-451011</wp:posOffset>
          </wp:positionV>
          <wp:extent cx="7658100" cy="10688381"/>
          <wp:effectExtent l="0" t="0" r="0" b="0"/>
          <wp:wrapNone/>
          <wp:docPr id="4534380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_PALMIT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0" cy="10688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EEC52" w14:textId="77777777" w:rsidR="003F2895" w:rsidRDefault="003F289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6771A"/>
    <w:multiLevelType w:val="hybridMultilevel"/>
    <w:tmpl w:val="CB6473DA"/>
    <w:lvl w:ilvl="0" w:tplc="11F0A4BE">
      <w:start w:val="1"/>
      <w:numFmt w:val="bullet"/>
      <w:lvlText w:val="●"/>
      <w:lvlJc w:val="left"/>
      <w:pPr>
        <w:ind w:left="720" w:hanging="360"/>
      </w:pPr>
    </w:lvl>
    <w:lvl w:ilvl="1" w:tplc="9BACA2B2">
      <w:start w:val="1"/>
      <w:numFmt w:val="bullet"/>
      <w:lvlText w:val="○"/>
      <w:lvlJc w:val="left"/>
      <w:pPr>
        <w:ind w:left="1440" w:hanging="360"/>
      </w:pPr>
    </w:lvl>
    <w:lvl w:ilvl="2" w:tplc="10F28CDC">
      <w:start w:val="1"/>
      <w:numFmt w:val="bullet"/>
      <w:lvlText w:val="■"/>
      <w:lvlJc w:val="left"/>
      <w:pPr>
        <w:ind w:left="2160" w:hanging="360"/>
      </w:pPr>
    </w:lvl>
    <w:lvl w:ilvl="3" w:tplc="61101570">
      <w:start w:val="1"/>
      <w:numFmt w:val="bullet"/>
      <w:lvlText w:val="●"/>
      <w:lvlJc w:val="left"/>
      <w:pPr>
        <w:ind w:left="2880" w:hanging="360"/>
      </w:pPr>
    </w:lvl>
    <w:lvl w:ilvl="4" w:tplc="B7C22662">
      <w:start w:val="1"/>
      <w:numFmt w:val="bullet"/>
      <w:lvlText w:val="○"/>
      <w:lvlJc w:val="left"/>
      <w:pPr>
        <w:ind w:left="3600" w:hanging="360"/>
      </w:pPr>
    </w:lvl>
    <w:lvl w:ilvl="5" w:tplc="C018D57E">
      <w:start w:val="1"/>
      <w:numFmt w:val="bullet"/>
      <w:lvlText w:val="■"/>
      <w:lvlJc w:val="left"/>
      <w:pPr>
        <w:ind w:left="4320" w:hanging="360"/>
      </w:pPr>
    </w:lvl>
    <w:lvl w:ilvl="6" w:tplc="E998268A">
      <w:start w:val="1"/>
      <w:numFmt w:val="bullet"/>
      <w:lvlText w:val="●"/>
      <w:lvlJc w:val="left"/>
      <w:pPr>
        <w:ind w:left="5040" w:hanging="360"/>
      </w:pPr>
    </w:lvl>
    <w:lvl w:ilvl="7" w:tplc="E07EF0E8">
      <w:start w:val="1"/>
      <w:numFmt w:val="bullet"/>
      <w:lvlText w:val="●"/>
      <w:lvlJc w:val="left"/>
      <w:pPr>
        <w:ind w:left="5760" w:hanging="360"/>
      </w:pPr>
    </w:lvl>
    <w:lvl w:ilvl="8" w:tplc="9F224A60">
      <w:start w:val="1"/>
      <w:numFmt w:val="bullet"/>
      <w:lvlText w:val="●"/>
      <w:lvlJc w:val="left"/>
      <w:pPr>
        <w:ind w:left="6480" w:hanging="360"/>
      </w:pPr>
    </w:lvl>
  </w:abstractNum>
  <w:num w:numId="1" w16cid:durableId="1908225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DB"/>
    <w:rsid w:val="000524BC"/>
    <w:rsid w:val="00112300"/>
    <w:rsid w:val="001951C3"/>
    <w:rsid w:val="001A7BCD"/>
    <w:rsid w:val="00206358"/>
    <w:rsid w:val="003331DB"/>
    <w:rsid w:val="00394BA5"/>
    <w:rsid w:val="003B2EB1"/>
    <w:rsid w:val="003F2895"/>
    <w:rsid w:val="00452F8C"/>
    <w:rsid w:val="004B4403"/>
    <w:rsid w:val="00583BDB"/>
    <w:rsid w:val="00666CB3"/>
    <w:rsid w:val="006B0D31"/>
    <w:rsid w:val="007A6E0E"/>
    <w:rsid w:val="007B13B4"/>
    <w:rsid w:val="00833219"/>
    <w:rsid w:val="008D034F"/>
    <w:rsid w:val="009874CB"/>
    <w:rsid w:val="009D461A"/>
    <w:rsid w:val="009F5F62"/>
    <w:rsid w:val="00AB7FDB"/>
    <w:rsid w:val="00C34801"/>
    <w:rsid w:val="00E37150"/>
    <w:rsid w:val="00E633A9"/>
    <w:rsid w:val="00EB0920"/>
    <w:rsid w:val="00ED677E"/>
    <w:rsid w:val="00FF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A7DF"/>
  <w15:chartTrackingRefBased/>
  <w15:docId w15:val="{89A2DCCE-F7B3-4A04-9BFB-60795F4D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1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33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33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331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33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331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31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331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331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331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31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331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331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331D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331D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331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331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331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331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331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33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33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33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33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331DB"/>
    <w:rPr>
      <w:i/>
      <w:iCs/>
      <w:color w:val="404040" w:themeColor="text1" w:themeTint="BF"/>
    </w:rPr>
  </w:style>
  <w:style w:type="paragraph" w:styleId="PargrafodaLista">
    <w:name w:val="List Paragraph"/>
    <w:aliases w:val="Paragrafo,Lista Colorida - Ênfase 11"/>
    <w:basedOn w:val="Normal"/>
    <w:link w:val="PargrafodaListaChar"/>
    <w:qFormat/>
    <w:rsid w:val="003331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331D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331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331D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331D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331DB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6B0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F28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2895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F28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2895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Hyperlink">
    <w:name w:val="Hyperlink"/>
    <w:uiPriority w:val="99"/>
    <w:unhideWhenUsed/>
    <w:rsid w:val="00E633A9"/>
    <w:rPr>
      <w:color w:val="0563C1"/>
      <w:u w:val="single"/>
    </w:rPr>
  </w:style>
  <w:style w:type="character" w:customStyle="1" w:styleId="PargrafodaListaChar">
    <w:name w:val="Parágrafo da Lista Char"/>
    <w:aliases w:val="Paragrafo Char,Lista Colorida - Ênfase 11 Char"/>
    <w:link w:val="PargrafodaLista"/>
    <w:rsid w:val="00E633A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braop.org.br/wp-content/uploads/2021/04/OT_IBR_008_2020_projeto_executivo_26_04_21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72FA3-2B8F-4B0A-A207-6EBF1530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3271</Words>
  <Characters>17667</Characters>
  <Application>Microsoft Office Word</Application>
  <DocSecurity>0</DocSecurity>
  <Lines>147</Lines>
  <Paragraphs>41</Paragraphs>
  <ScaleCrop>false</ScaleCrop>
  <Company/>
  <LinksUpToDate>false</LinksUpToDate>
  <CharactersWithSpaces>20897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ANDRESSA TRIACCA</dc:creator>
  <cp:keywords/>
  <dc:description/>
  <cp:lastModifiedBy>ANDRESSA TRIACCA</cp:lastModifiedBy>
  <cp:revision>20</cp:revision>
  <cp:lastPrinted>2026-09-14T12:06:00Z</cp:lastPrinted>
  <dcterms:created xsi:type="dcterms:W3CDTF">2026-09-14T12:06:00Z</dcterms:created>
  <dcterms:modified xsi:type="dcterms:W3CDTF">2026-09-16T17:16:00Z</dcterms:modified>
</cp:coreProperties>
</file>