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325F" w14:textId="77777777" w:rsidR="00AF39AE" w:rsidRPr="00A44935" w:rsidRDefault="00AF39AE" w:rsidP="00A44935">
      <w:pPr>
        <w:spacing w:after="0" w:line="240" w:lineRule="auto"/>
        <w:jc w:val="center"/>
        <w:rPr>
          <w:rFonts w:ascii="Times New Roman" w:hAnsi="Times New Roman"/>
        </w:rPr>
      </w:pPr>
      <w:r w:rsidRPr="00A44935">
        <w:rPr>
          <w:rFonts w:ascii="Times New Roman" w:eastAsia="Times New Roman" w:hAnsi="Times New Roman"/>
          <w:b/>
          <w:bCs/>
        </w:rPr>
        <w:t>SECRETARIA MUNICIPAL DE AGRICULTURA E MEIO AMBIENTE</w:t>
      </w:r>
    </w:p>
    <w:p w14:paraId="1B6F467F" w14:textId="77777777" w:rsidR="00AF39AE" w:rsidRPr="00A44935" w:rsidRDefault="00AF39AE" w:rsidP="00A44935">
      <w:pPr>
        <w:spacing w:after="0" w:line="240" w:lineRule="auto"/>
        <w:jc w:val="center"/>
        <w:rPr>
          <w:rFonts w:ascii="Times New Roman" w:hAnsi="Times New Roman"/>
        </w:rPr>
      </w:pPr>
      <w:r w:rsidRPr="00A44935">
        <w:rPr>
          <w:rFonts w:ascii="Times New Roman" w:eastAsia="Times New Roman" w:hAnsi="Times New Roman"/>
          <w:b/>
          <w:bCs/>
        </w:rPr>
        <w:t>Solicitação nº 06/2026</w:t>
      </w:r>
    </w:p>
    <w:p w14:paraId="3949E475" w14:textId="77777777" w:rsidR="00AF39AE" w:rsidRPr="00A44935" w:rsidRDefault="00AF39AE" w:rsidP="00A44935">
      <w:pPr>
        <w:spacing w:after="0" w:line="240" w:lineRule="auto"/>
        <w:jc w:val="center"/>
        <w:rPr>
          <w:rFonts w:ascii="Times New Roman" w:eastAsia="Times New Roman" w:hAnsi="Times New Roman"/>
          <w:b/>
          <w:bCs/>
        </w:rPr>
      </w:pPr>
    </w:p>
    <w:p w14:paraId="152A63EE" w14:textId="62A0437C" w:rsidR="005276D7" w:rsidRPr="00A44935" w:rsidRDefault="005276D7" w:rsidP="00A44935">
      <w:pPr>
        <w:spacing w:after="0" w:line="240" w:lineRule="auto"/>
        <w:jc w:val="center"/>
        <w:rPr>
          <w:rFonts w:ascii="Times New Roman" w:eastAsia="Times New Roman" w:hAnsi="Times New Roman"/>
          <w:b/>
          <w:bCs/>
        </w:rPr>
      </w:pPr>
      <w:r w:rsidRPr="00A44935">
        <w:rPr>
          <w:rFonts w:ascii="Times New Roman" w:eastAsia="Times New Roman" w:hAnsi="Times New Roman"/>
          <w:b/>
          <w:bCs/>
        </w:rPr>
        <w:t>TERMO DE REFERÊNCIA</w:t>
      </w:r>
    </w:p>
    <w:p w14:paraId="5160FDB3" w14:textId="77777777" w:rsidR="00AF39AE" w:rsidRPr="00A44935" w:rsidRDefault="00AF39AE" w:rsidP="00A44935">
      <w:pPr>
        <w:spacing w:after="0" w:line="240" w:lineRule="auto"/>
        <w:jc w:val="center"/>
        <w:rPr>
          <w:rFonts w:ascii="Times New Roman" w:hAnsi="Times New Roman"/>
        </w:rPr>
      </w:pPr>
    </w:p>
    <w:tbl>
      <w:tblPr>
        <w:tblW w:w="10462" w:type="dxa"/>
        <w:tblInd w:w="-856" w:type="dxa"/>
        <w:tblLayout w:type="fixed"/>
        <w:tblLook w:val="0000" w:firstRow="0" w:lastRow="0" w:firstColumn="0" w:lastColumn="0" w:noHBand="0" w:noVBand="0"/>
      </w:tblPr>
      <w:tblGrid>
        <w:gridCol w:w="822"/>
        <w:gridCol w:w="9640"/>
      </w:tblGrid>
      <w:tr w:rsidR="005276D7" w:rsidRPr="00A44935" w14:paraId="780E0030" w14:textId="77777777" w:rsidTr="007022DD">
        <w:tc>
          <w:tcPr>
            <w:tcW w:w="10462" w:type="dxa"/>
            <w:gridSpan w:val="2"/>
            <w:tcBorders>
              <w:top w:val="single" w:sz="4" w:space="0" w:color="000000"/>
              <w:left w:val="single" w:sz="4" w:space="0" w:color="000000"/>
              <w:bottom w:val="single" w:sz="4" w:space="0" w:color="000000"/>
              <w:right w:val="single" w:sz="4" w:space="0" w:color="000000"/>
            </w:tcBorders>
            <w:shd w:val="clear" w:color="auto" w:fill="D9D9D9"/>
          </w:tcPr>
          <w:p w14:paraId="6D5885B2"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ELEMENTOS</w:t>
            </w:r>
          </w:p>
        </w:tc>
      </w:tr>
      <w:tr w:rsidR="005276D7" w:rsidRPr="00A44935" w14:paraId="79B462C1" w14:textId="77777777" w:rsidTr="007022DD">
        <w:tc>
          <w:tcPr>
            <w:tcW w:w="822" w:type="dxa"/>
            <w:tcBorders>
              <w:top w:val="single" w:sz="4" w:space="0" w:color="000000"/>
              <w:left w:val="single" w:sz="4" w:space="0" w:color="000000"/>
              <w:bottom w:val="single" w:sz="4" w:space="0" w:color="000000"/>
              <w:right w:val="single" w:sz="4" w:space="0" w:color="000000"/>
            </w:tcBorders>
          </w:tcPr>
          <w:p w14:paraId="4C2A1B76"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1.</w:t>
            </w:r>
          </w:p>
        </w:tc>
        <w:tc>
          <w:tcPr>
            <w:tcW w:w="9640" w:type="dxa"/>
            <w:tcBorders>
              <w:top w:val="single" w:sz="4" w:space="0" w:color="000000"/>
              <w:left w:val="single" w:sz="4" w:space="0" w:color="000000"/>
              <w:bottom w:val="single" w:sz="4" w:space="0" w:color="000000"/>
              <w:right w:val="single" w:sz="4" w:space="0" w:color="000000"/>
            </w:tcBorders>
          </w:tcPr>
          <w:p w14:paraId="066C589C"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Definição do objeto, incluídos sua natureza, os quantitativos, o prazo do contrato e, se for o caso, a possibilidade de sua prorrogação.</w:t>
            </w:r>
          </w:p>
          <w:p w14:paraId="05900AE1"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Constitui objeto a contratação de empresa especializada em arquitetura e/ou engenharia para elaboração dos estudos, levantamentos e projetos técnicos completos (básico e executivo, com todas as disciplinas complementares) destinados à construção da nova sede da Secretaria Municipal de Agricultura e Meio Ambiente do Município de Palmitos/SC, edificação com área construída estimada de até 500 m² (quinhentos metros quadrados), dotada de subsolo e estacionamento, incluindo o Viveiro Municipal e a infraestrutura de estacionamento e de acesso viário, compreendendo levantamento topográfico, sondagem do solo, projetos arquitetônico, de implantação, terraplenagem e contenções, estrutural e de fundações, impermeabilização, hidrossanitário e pluvial, elétrico, SPDA, cabeamento estruturado, preventivo contra incêndio e pânico (PPCI), acessibilidade, memoriais, especificações, quantitativos, orçamento e cronograma físico-financeiro.</w:t>
            </w:r>
          </w:p>
          <w:p w14:paraId="01FE01AE"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 objeto caracteriza-se como serviço técnico especializado de natureza predominantemente intelectual (art. 6º, XVIII, “a”, da Lei nº 14.133/2021), não contínuo e contratado por escopo (art. 6º, XVII), sem dedicação exclusiva de mão de obra, a ser executado sob o regime de empreitada por preço global.</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00"/>
              <w:gridCol w:w="6118"/>
              <w:gridCol w:w="900"/>
              <w:gridCol w:w="700"/>
              <w:gridCol w:w="1000"/>
            </w:tblGrid>
            <w:tr w:rsidR="00A44935" w:rsidRPr="00A44935" w14:paraId="46882017" w14:textId="77777777" w:rsidTr="00A44935">
              <w:trPr>
                <w:tblHeader/>
              </w:trPr>
              <w:tc>
                <w:tcPr>
                  <w:tcW w:w="600" w:type="dxa"/>
                  <w:shd w:val="clear" w:color="auto" w:fill="D9D9D9"/>
                  <w:vAlign w:val="center"/>
                </w:tcPr>
                <w:p w14:paraId="08931C92"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b/>
                      <w:bCs/>
                    </w:rPr>
                    <w:t>Item</w:t>
                  </w:r>
                </w:p>
              </w:tc>
              <w:tc>
                <w:tcPr>
                  <w:tcW w:w="6118" w:type="dxa"/>
                  <w:shd w:val="clear" w:color="auto" w:fill="D9D9D9"/>
                  <w:vAlign w:val="center"/>
                </w:tcPr>
                <w:p w14:paraId="0EBBD4E7"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b/>
                      <w:bCs/>
                    </w:rPr>
                    <w:t>Descrição</w:t>
                  </w:r>
                </w:p>
              </w:tc>
              <w:tc>
                <w:tcPr>
                  <w:tcW w:w="900" w:type="dxa"/>
                  <w:shd w:val="clear" w:color="auto" w:fill="D9D9D9"/>
                  <w:vAlign w:val="center"/>
                </w:tcPr>
                <w:p w14:paraId="56E34D71"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b/>
                      <w:bCs/>
                    </w:rPr>
                    <w:t>Unid.</w:t>
                  </w:r>
                </w:p>
              </w:tc>
              <w:tc>
                <w:tcPr>
                  <w:tcW w:w="700" w:type="dxa"/>
                  <w:shd w:val="clear" w:color="auto" w:fill="D9D9D9"/>
                  <w:vAlign w:val="center"/>
                </w:tcPr>
                <w:p w14:paraId="691EC718"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b/>
                      <w:bCs/>
                    </w:rPr>
                    <w:t>Qtde.</w:t>
                  </w:r>
                </w:p>
              </w:tc>
              <w:tc>
                <w:tcPr>
                  <w:tcW w:w="1000" w:type="dxa"/>
                  <w:shd w:val="clear" w:color="auto" w:fill="D9D9D9"/>
                  <w:vAlign w:val="center"/>
                </w:tcPr>
                <w:p w14:paraId="5CC8E08C"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b/>
                      <w:bCs/>
                    </w:rPr>
                    <w:t>Valor unitário (R$)</w:t>
                  </w:r>
                </w:p>
              </w:tc>
            </w:tr>
            <w:tr w:rsidR="00A44935" w:rsidRPr="00A44935" w14:paraId="4B4C7C41" w14:textId="77777777" w:rsidTr="00A44935">
              <w:tc>
                <w:tcPr>
                  <w:tcW w:w="600" w:type="dxa"/>
                  <w:vAlign w:val="center"/>
                </w:tcPr>
                <w:p w14:paraId="6F43F615"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6118" w:type="dxa"/>
                  <w:vAlign w:val="center"/>
                </w:tcPr>
                <w:p w14:paraId="1D447AC4" w14:textId="77777777" w:rsidR="00A44935" w:rsidRPr="00A44935" w:rsidRDefault="00A44935" w:rsidP="00A44935">
                  <w:pPr>
                    <w:spacing w:after="0" w:line="240" w:lineRule="auto"/>
                    <w:rPr>
                      <w:rFonts w:ascii="Times New Roman" w:hAnsi="Times New Roman"/>
                    </w:rPr>
                  </w:pPr>
                  <w:r w:rsidRPr="00A44935">
                    <w:rPr>
                      <w:rFonts w:ascii="Times New Roman" w:eastAsia="Times New Roman" w:hAnsi="Times New Roman"/>
                    </w:rPr>
                    <w:t>Elaboração de projetos técnicos completos de arquitetura e engenharia (levantamento topográfico, sondagem SPT, estudo preliminar, projeto arquitetônico legal/básico e executivo, implantação, estacionamento e acesso rodoviário, terraplenagem e contenções, estrutural e fundações, impermeabilização, hidrossanitário e pluvial, elétrico, SPDA, cabeamento estruturado, PPCI, acessibilidade, Viveiro Municipal, memoriais, especificações, orçamento com e sem BDI e cronograma físico-financeiro) para construção da nova sede da Secretaria Municipal de Agricultura e Meio Ambiente, com área construída estimada de até 500 m², subsolo e estacionamento.</w:t>
                  </w:r>
                </w:p>
              </w:tc>
              <w:tc>
                <w:tcPr>
                  <w:tcW w:w="900" w:type="dxa"/>
                  <w:vAlign w:val="center"/>
                </w:tcPr>
                <w:p w14:paraId="672683D9"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rPr>
                    <w:t>Serviço</w:t>
                  </w:r>
                </w:p>
              </w:tc>
              <w:tc>
                <w:tcPr>
                  <w:tcW w:w="700" w:type="dxa"/>
                  <w:vAlign w:val="center"/>
                </w:tcPr>
                <w:p w14:paraId="4B9D0315"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1000" w:type="dxa"/>
                  <w:vAlign w:val="center"/>
                </w:tcPr>
                <w:p w14:paraId="618C2201" w14:textId="77777777" w:rsidR="00A44935" w:rsidRPr="00A44935" w:rsidRDefault="00A44935" w:rsidP="00A44935">
                  <w:pPr>
                    <w:spacing w:after="0" w:line="240" w:lineRule="auto"/>
                    <w:jc w:val="center"/>
                    <w:rPr>
                      <w:rFonts w:ascii="Times New Roman" w:hAnsi="Times New Roman"/>
                    </w:rPr>
                  </w:pPr>
                  <w:r w:rsidRPr="00A44935">
                    <w:rPr>
                      <w:rFonts w:ascii="Times New Roman" w:eastAsia="Times New Roman" w:hAnsi="Times New Roman"/>
                    </w:rPr>
                    <w:t>17.250,00</w:t>
                  </w:r>
                </w:p>
              </w:tc>
            </w:tr>
          </w:tbl>
          <w:p w14:paraId="5047AB2B" w14:textId="77777777" w:rsidR="005276D7" w:rsidRPr="00A44935" w:rsidRDefault="005276D7" w:rsidP="00A44935">
            <w:pPr>
              <w:spacing w:after="0" w:line="240" w:lineRule="auto"/>
              <w:jc w:val="both"/>
              <w:rPr>
                <w:rFonts w:ascii="Times New Roman" w:hAnsi="Times New Roman"/>
              </w:rPr>
            </w:pPr>
          </w:p>
          <w:p w14:paraId="687E7D7D" w14:textId="3562F916"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Localização:</w:t>
            </w:r>
            <w:r w:rsidRPr="00A44935">
              <w:rPr>
                <w:rFonts w:ascii="Times New Roman" w:eastAsia="Times New Roman" w:hAnsi="Times New Roman"/>
              </w:rPr>
              <w:t xml:space="preserve"> </w:t>
            </w:r>
            <w:r w:rsidR="00425554" w:rsidRPr="00A44935">
              <w:rPr>
                <w:rFonts w:ascii="Times New Roman" w:eastAsia="Times New Roman" w:hAnsi="Times New Roman"/>
              </w:rPr>
              <w:t>Rua Padre Anchieta</w:t>
            </w:r>
            <w:r w:rsidRPr="00A44935">
              <w:rPr>
                <w:rFonts w:ascii="Times New Roman" w:eastAsia="Times New Roman" w:hAnsi="Times New Roman"/>
              </w:rPr>
              <w:t>,</w:t>
            </w:r>
            <w:r w:rsidR="00425554" w:rsidRPr="00A44935">
              <w:rPr>
                <w:rFonts w:ascii="Times New Roman" w:eastAsia="Times New Roman" w:hAnsi="Times New Roman"/>
              </w:rPr>
              <w:t xml:space="preserve"> s/n, Centro,</w:t>
            </w:r>
            <w:r w:rsidRPr="00A44935">
              <w:rPr>
                <w:rFonts w:ascii="Times New Roman" w:eastAsia="Times New Roman" w:hAnsi="Times New Roman"/>
              </w:rPr>
              <w:t xml:space="preserve"> matrícula nº </w:t>
            </w:r>
            <w:r w:rsidR="003F1410" w:rsidRPr="00A44935">
              <w:rPr>
                <w:rFonts w:ascii="Times New Roman" w:eastAsia="Times New Roman" w:hAnsi="Times New Roman"/>
              </w:rPr>
              <w:t>1</w:t>
            </w:r>
            <w:r w:rsidR="003717C3" w:rsidRPr="00A44935">
              <w:rPr>
                <w:rFonts w:ascii="Times New Roman" w:eastAsia="Times New Roman" w:hAnsi="Times New Roman"/>
              </w:rPr>
              <w:t>8</w:t>
            </w:r>
            <w:r w:rsidR="003F1410" w:rsidRPr="00A44935">
              <w:rPr>
                <w:rFonts w:ascii="Times New Roman" w:eastAsia="Times New Roman" w:hAnsi="Times New Roman"/>
              </w:rPr>
              <w:t>.509</w:t>
            </w:r>
            <w:r w:rsidRPr="00A44935">
              <w:rPr>
                <w:rFonts w:ascii="Times New Roman" w:eastAsia="Times New Roman" w:hAnsi="Times New Roman"/>
              </w:rPr>
              <w:t>, Palmitos/SC.</w:t>
            </w:r>
          </w:p>
          <w:p w14:paraId="57A121B0"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 xml:space="preserve">O prazo de execução será de até </w:t>
            </w:r>
            <w:r w:rsidRPr="00A44935">
              <w:rPr>
                <w:rFonts w:ascii="Times New Roman" w:eastAsia="Times New Roman" w:hAnsi="Times New Roman"/>
                <w:b/>
                <w:bCs/>
              </w:rPr>
              <w:t>90 (noventa) dias corridos</w:t>
            </w:r>
            <w:r w:rsidRPr="00A44935">
              <w:rPr>
                <w:rFonts w:ascii="Times New Roman" w:eastAsia="Times New Roman" w:hAnsi="Times New Roman"/>
              </w:rPr>
              <w:t>, contados da emissão da Ordem de Serviço, não computados os períodos de análise pela Administração e pelos órgãos externos.</w:t>
            </w:r>
          </w:p>
          <w:p w14:paraId="475E6D4B" w14:textId="77777777" w:rsidR="005276D7" w:rsidRDefault="005276D7" w:rsidP="00A44935">
            <w:pPr>
              <w:spacing w:after="0" w:line="240" w:lineRule="auto"/>
              <w:jc w:val="both"/>
              <w:rPr>
                <w:rFonts w:ascii="Times New Roman" w:eastAsia="Times New Roman" w:hAnsi="Times New Roman"/>
              </w:rPr>
            </w:pPr>
            <w:r w:rsidRPr="00A44935">
              <w:rPr>
                <w:rFonts w:ascii="Times New Roman" w:eastAsia="Times New Roman" w:hAnsi="Times New Roman"/>
              </w:rPr>
              <w:t xml:space="preserve">A vigência do contrato será de </w:t>
            </w:r>
            <w:r w:rsidRPr="00A44935">
              <w:rPr>
                <w:rFonts w:ascii="Times New Roman" w:eastAsia="Times New Roman" w:hAnsi="Times New Roman"/>
                <w:b/>
                <w:bCs/>
              </w:rPr>
              <w:t>120 (cento e vinte) dias</w:t>
            </w:r>
            <w:r w:rsidRPr="00A44935">
              <w:rPr>
                <w:rFonts w:ascii="Times New Roman" w:eastAsia="Times New Roman" w:hAnsi="Times New Roman"/>
              </w:rPr>
              <w:t>, contados da assinatura, período necessário à execução, às análises, às aprovações externas e ao recebimento definitivo, prorrogável na forma do art. 111 da Lei nº 14.133/2021.</w:t>
            </w:r>
          </w:p>
          <w:p w14:paraId="0C93AAC5" w14:textId="518D58F8" w:rsidR="00CC74A8" w:rsidRPr="008330D5" w:rsidRDefault="00CC74A8" w:rsidP="00CC74A8">
            <w:pPr>
              <w:spacing w:after="0"/>
              <w:jc w:val="both"/>
              <w:rPr>
                <w:rFonts w:ascii="Times New Roman" w:eastAsia="Times New Roman" w:hAnsi="Times New Roman"/>
                <w:bCs/>
                <w:lang w:eastAsia="pt-BR"/>
              </w:rPr>
            </w:pPr>
            <w:r w:rsidRPr="008330D5">
              <w:rPr>
                <w:rFonts w:ascii="Times New Roman" w:eastAsia="Times New Roman" w:hAnsi="Times New Roman"/>
                <w:bCs/>
                <w:lang w:eastAsia="pt-BR"/>
              </w:rPr>
              <w:t xml:space="preserve">O presente processo licitatório é destinado à participação EXCLUSIVA de microempresas e empresas de pequeno porte, na disputa de itens cujo valor seja inferior a R$ 80.000,00 (oitenta mil reais), de acordo com o art. 48, inciso I, da Lei Complementar Federal nº 123/2006. </w:t>
            </w:r>
          </w:p>
          <w:p w14:paraId="180AF6D9" w14:textId="369B152F" w:rsidR="00CC74A8" w:rsidRPr="008330D5" w:rsidRDefault="00CC74A8" w:rsidP="00CC74A8">
            <w:pPr>
              <w:spacing w:after="0"/>
              <w:jc w:val="both"/>
              <w:rPr>
                <w:rFonts w:ascii="Times New Roman" w:eastAsia="Times New Roman" w:hAnsi="Times New Roman"/>
                <w:bCs/>
                <w:lang w:eastAsia="pt-BR"/>
              </w:rPr>
            </w:pPr>
            <w:r w:rsidRPr="008330D5">
              <w:rPr>
                <w:rFonts w:ascii="Times New Roman" w:eastAsia="Times New Roman" w:hAnsi="Times New Roman"/>
                <w:bCs/>
                <w:u w:val="single"/>
                <w:lang w:eastAsia="pt-BR"/>
              </w:rPr>
              <w:t>Caso não houver (existir, identificar) no mínimo de 1 (uma) ou mais</w:t>
            </w:r>
            <w:r w:rsidRPr="008330D5">
              <w:rPr>
                <w:rFonts w:ascii="Times New Roman" w:eastAsia="Times New Roman" w:hAnsi="Times New Roman"/>
                <w:bCs/>
                <w:lang w:eastAsia="pt-BR"/>
              </w:rPr>
              <w:t xml:space="preserve"> microempresas e/ou empresas de pequeno porte, sediado local ou regionalmente e capazes de cumprir as exigências estabelecidas no instrumento convocatório em conformidade com o Artigo 49, inciso II, da Lei 123/2006. Podendo todas as empresas do ramo, participarem do certame, respeitando-se os demais direitos que a lei concede as microempresas e empresas de pequeno porte. </w:t>
            </w:r>
          </w:p>
          <w:p w14:paraId="77ACADE8" w14:textId="768885E9" w:rsidR="00CC74A8" w:rsidRPr="008330D5" w:rsidRDefault="00CC74A8" w:rsidP="00CC74A8">
            <w:pPr>
              <w:spacing w:after="0"/>
              <w:jc w:val="both"/>
              <w:rPr>
                <w:rFonts w:ascii="Times New Roman" w:eastAsia="Times New Roman" w:hAnsi="Times New Roman"/>
                <w:b/>
                <w:bCs/>
                <w:u w:val="single"/>
                <w:lang w:eastAsia="pt-BR"/>
              </w:rPr>
            </w:pPr>
            <w:r w:rsidRPr="008330D5">
              <w:rPr>
                <w:rFonts w:ascii="Times New Roman" w:eastAsia="Times New Roman" w:hAnsi="Times New Roman"/>
                <w:bCs/>
                <w:lang w:eastAsia="pt-BR"/>
              </w:rPr>
              <w:t>Considera-se r</w:t>
            </w:r>
            <w:r w:rsidRPr="008330D5">
              <w:rPr>
                <w:rFonts w:ascii="Times New Roman" w:eastAsia="Times New Roman" w:hAnsi="Times New Roman"/>
                <w:lang w:eastAsia="pt-BR"/>
              </w:rPr>
              <w:t>egional a empresa sediada nos municípios pertencentes as associações: AMERIOS (Associação do Município Entre Rios), AMOSC (Associação dos Município do Oeste de Santa Catarina) e AMEOES (Associação dos Municípios do Extremo Oeste de Santa Catarina)</w:t>
            </w:r>
            <w:r w:rsidRPr="008330D5">
              <w:rPr>
                <w:rFonts w:ascii="Times New Roman" w:eastAsia="Times New Roman" w:hAnsi="Times New Roman"/>
                <w:bCs/>
                <w:lang w:eastAsia="pt-BR"/>
              </w:rPr>
              <w:t xml:space="preserve">, conforme </w:t>
            </w:r>
            <w:r w:rsidRPr="008330D5">
              <w:rPr>
                <w:rFonts w:ascii="Times New Roman" w:eastAsia="Times New Roman" w:hAnsi="Times New Roman"/>
                <w:b/>
                <w:bCs/>
                <w:u w:val="single"/>
                <w:lang w:eastAsia="pt-BR"/>
              </w:rPr>
              <w:t>DECRETO MUNICIPAL</w:t>
            </w:r>
            <w:r w:rsidRPr="008330D5">
              <w:rPr>
                <w:rFonts w:ascii="Times New Roman" w:eastAsia="Times New Roman" w:hAnsi="Times New Roman"/>
                <w:bCs/>
                <w:u w:val="single"/>
                <w:lang w:eastAsia="pt-BR"/>
              </w:rPr>
              <w:t>.</w:t>
            </w:r>
            <w:r w:rsidRPr="008330D5">
              <w:rPr>
                <w:rFonts w:ascii="Times New Roman" w:eastAsia="Times New Roman" w:hAnsi="Times New Roman"/>
                <w:bCs/>
                <w:lang w:eastAsia="pt-BR"/>
              </w:rPr>
              <w:t xml:space="preserve"> </w:t>
            </w:r>
          </w:p>
          <w:p w14:paraId="36989DA2" w14:textId="48CBE7ED" w:rsidR="00CC74A8" w:rsidRPr="008330D5" w:rsidRDefault="00CC74A8" w:rsidP="00CC74A8">
            <w:pPr>
              <w:spacing w:after="0"/>
              <w:jc w:val="both"/>
              <w:rPr>
                <w:rFonts w:ascii="Times New Roman" w:eastAsia="Times New Roman" w:hAnsi="Times New Roman"/>
                <w:bCs/>
                <w:lang w:eastAsia="pt-BR"/>
              </w:rPr>
            </w:pPr>
            <w:r w:rsidRPr="008330D5">
              <w:rPr>
                <w:rFonts w:ascii="Times New Roman" w:eastAsia="Times New Roman" w:hAnsi="Times New Roman"/>
                <w:bCs/>
                <w:lang w:eastAsia="pt-BR"/>
              </w:rPr>
              <w:lastRenderedPageBreak/>
              <w:t xml:space="preserve">Na primeira chamada haverá prioridade de contratação para as microempresas e empresas de pequeno porte sediadas no limite geográfico do Município de Palmitos, até o limite de 10% do melhor preço válido. (art. 48 § 3º Lei 123/06. Prejulgado TCE-SC 2205). </w:t>
            </w:r>
          </w:p>
          <w:p w14:paraId="30CB1369" w14:textId="18427695" w:rsidR="00CC74A8" w:rsidRPr="00CC74A8" w:rsidRDefault="00CC74A8" w:rsidP="00CC74A8">
            <w:pPr>
              <w:spacing w:after="0"/>
              <w:jc w:val="both"/>
              <w:rPr>
                <w:rFonts w:ascii="Times New Roman" w:eastAsia="Times New Roman" w:hAnsi="Times New Roman"/>
                <w:bCs/>
                <w:lang w:eastAsia="pt-BR"/>
              </w:rPr>
            </w:pPr>
            <w:r w:rsidRPr="008330D5">
              <w:rPr>
                <w:rFonts w:ascii="Times New Roman" w:eastAsia="Times New Roman" w:hAnsi="Times New Roman"/>
                <w:bCs/>
                <w:lang w:eastAsia="pt-BR"/>
              </w:rPr>
              <w:t xml:space="preserve">Não havendo empresas locais, a prioridade de contratação será para as microempresas e empresas de pequeno porte sediadas regionalmente, até o limite de 10% do melhor preço válido. (art. 48 § 3º Lei 123/06. Prejulgado TC/SC 2205). </w:t>
            </w:r>
          </w:p>
        </w:tc>
      </w:tr>
      <w:tr w:rsidR="005276D7" w:rsidRPr="00A44935" w14:paraId="2967D5BD" w14:textId="77777777" w:rsidTr="007022DD">
        <w:tc>
          <w:tcPr>
            <w:tcW w:w="822" w:type="dxa"/>
            <w:tcBorders>
              <w:top w:val="single" w:sz="4" w:space="0" w:color="000000"/>
              <w:left w:val="single" w:sz="4" w:space="0" w:color="000000"/>
              <w:bottom w:val="single" w:sz="4" w:space="0" w:color="000000"/>
              <w:right w:val="single" w:sz="4" w:space="0" w:color="000000"/>
            </w:tcBorders>
          </w:tcPr>
          <w:p w14:paraId="183D8E7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2.</w:t>
            </w:r>
          </w:p>
        </w:tc>
        <w:tc>
          <w:tcPr>
            <w:tcW w:w="9640" w:type="dxa"/>
            <w:tcBorders>
              <w:top w:val="single" w:sz="4" w:space="0" w:color="000000"/>
              <w:left w:val="single" w:sz="4" w:space="0" w:color="000000"/>
              <w:bottom w:val="single" w:sz="4" w:space="0" w:color="000000"/>
              <w:right w:val="single" w:sz="4" w:space="0" w:color="000000"/>
            </w:tcBorders>
          </w:tcPr>
          <w:p w14:paraId="0C8FF501"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Programa de necessidades e especificação dos serviços.</w:t>
            </w:r>
          </w:p>
          <w:p w14:paraId="09B6E58F"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Não foi identificado catálogo eletrônico de padronização aplicável ao objeto. Os serviços deverão atender ao programa de necessidades abaixo, definido pela Secretaria demandante, que poderá ser ajustado na Etapa 1, mediante validação formal:</w:t>
            </w: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900"/>
              <w:gridCol w:w="1100"/>
              <w:gridCol w:w="4200"/>
            </w:tblGrid>
            <w:tr w:rsidR="005276D7" w:rsidRPr="00A44935" w14:paraId="42E1C6FE" w14:textId="77777777" w:rsidTr="007022DD">
              <w:trPr>
                <w:tblHeader/>
              </w:trPr>
              <w:tc>
                <w:tcPr>
                  <w:tcW w:w="3900" w:type="dxa"/>
                  <w:shd w:val="clear" w:color="auto" w:fill="D9D9D9"/>
                  <w:vAlign w:val="center"/>
                </w:tcPr>
                <w:p w14:paraId="48914949"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Ambiente</w:t>
                  </w:r>
                </w:p>
              </w:tc>
              <w:tc>
                <w:tcPr>
                  <w:tcW w:w="1100" w:type="dxa"/>
                  <w:shd w:val="clear" w:color="auto" w:fill="D9D9D9"/>
                  <w:vAlign w:val="center"/>
                </w:tcPr>
                <w:p w14:paraId="08B5410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Qtde.</w:t>
                  </w:r>
                </w:p>
              </w:tc>
              <w:tc>
                <w:tcPr>
                  <w:tcW w:w="4200" w:type="dxa"/>
                  <w:shd w:val="clear" w:color="auto" w:fill="D9D9D9"/>
                  <w:vAlign w:val="center"/>
                </w:tcPr>
                <w:p w14:paraId="2C8D46C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Observações</w:t>
                  </w:r>
                </w:p>
              </w:tc>
            </w:tr>
            <w:tr w:rsidR="005276D7" w:rsidRPr="00A44935" w14:paraId="76C76D53" w14:textId="77777777" w:rsidTr="007022DD">
              <w:tc>
                <w:tcPr>
                  <w:tcW w:w="9200" w:type="dxa"/>
                  <w:gridSpan w:val="3"/>
                  <w:shd w:val="clear" w:color="auto" w:fill="EDEDED"/>
                </w:tcPr>
                <w:p w14:paraId="6A9BD1AB"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b/>
                      <w:bCs/>
                    </w:rPr>
                    <w:t>PAVIMENTO PRINCIPAL (TÉRREO)</w:t>
                  </w:r>
                </w:p>
              </w:tc>
            </w:tr>
            <w:tr w:rsidR="005276D7" w:rsidRPr="00A44935" w14:paraId="5EFA43CA" w14:textId="77777777" w:rsidTr="007022DD">
              <w:tc>
                <w:tcPr>
                  <w:tcW w:w="3900" w:type="dxa"/>
                  <w:vAlign w:val="center"/>
                </w:tcPr>
                <w:p w14:paraId="5BBA120C"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Salas individuais – Secretaria de Agricultura e Meio Ambiente</w:t>
                  </w:r>
                </w:p>
              </w:tc>
              <w:tc>
                <w:tcPr>
                  <w:tcW w:w="1100" w:type="dxa"/>
                  <w:vAlign w:val="center"/>
                </w:tcPr>
                <w:p w14:paraId="0C532ACF"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08</w:t>
                  </w:r>
                </w:p>
              </w:tc>
              <w:tc>
                <w:tcPr>
                  <w:tcW w:w="4200" w:type="dxa"/>
                  <w:vAlign w:val="center"/>
                </w:tcPr>
                <w:p w14:paraId="6D9DEF8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1 servidor, com atendimento para 2 pessoas cada</w:t>
                  </w:r>
                </w:p>
              </w:tc>
            </w:tr>
            <w:tr w:rsidR="005276D7" w:rsidRPr="00A44935" w14:paraId="0B117250" w14:textId="77777777" w:rsidTr="007022DD">
              <w:tc>
                <w:tcPr>
                  <w:tcW w:w="3900" w:type="dxa"/>
                  <w:vAlign w:val="center"/>
                </w:tcPr>
                <w:p w14:paraId="4207761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de arquivo – Secretaria</w:t>
                  </w:r>
                </w:p>
              </w:tc>
              <w:tc>
                <w:tcPr>
                  <w:tcW w:w="1100" w:type="dxa"/>
                  <w:vAlign w:val="center"/>
                </w:tcPr>
                <w:p w14:paraId="33497AA3"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24F2A0D9"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Prever estantes e ventilação adequada</w:t>
                  </w:r>
                </w:p>
              </w:tc>
            </w:tr>
            <w:tr w:rsidR="005276D7" w:rsidRPr="00A44935" w14:paraId="39691D3C" w14:textId="77777777" w:rsidTr="007022DD">
              <w:tc>
                <w:tcPr>
                  <w:tcW w:w="3900" w:type="dxa"/>
                  <w:vAlign w:val="center"/>
                </w:tcPr>
                <w:p w14:paraId="375B137F"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de depósito – Secretaria</w:t>
                  </w:r>
                </w:p>
              </w:tc>
              <w:tc>
                <w:tcPr>
                  <w:tcW w:w="1100" w:type="dxa"/>
                  <w:vAlign w:val="center"/>
                </w:tcPr>
                <w:p w14:paraId="3C07BDF6"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100F638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w:t>
                  </w:r>
                </w:p>
              </w:tc>
            </w:tr>
            <w:tr w:rsidR="005276D7" w:rsidRPr="00A44935" w14:paraId="50D871F5" w14:textId="77777777" w:rsidTr="007022DD">
              <w:tc>
                <w:tcPr>
                  <w:tcW w:w="3900" w:type="dxa"/>
                  <w:vAlign w:val="center"/>
                </w:tcPr>
                <w:p w14:paraId="10936AA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do Programa de Inseminação – Secretaria</w:t>
                  </w:r>
                </w:p>
              </w:tc>
              <w:tc>
                <w:tcPr>
                  <w:tcW w:w="1100" w:type="dxa"/>
                  <w:vAlign w:val="center"/>
                </w:tcPr>
                <w:p w14:paraId="02704D90"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295C3134"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Prever bancada, ponto de água e ponto elétrico para equipamentos de conservação</w:t>
                  </w:r>
                </w:p>
              </w:tc>
            </w:tr>
            <w:tr w:rsidR="005276D7" w:rsidRPr="00A44935" w14:paraId="5C1219DF" w14:textId="77777777" w:rsidTr="007022DD">
              <w:tc>
                <w:tcPr>
                  <w:tcW w:w="3900" w:type="dxa"/>
                  <w:vAlign w:val="center"/>
                </w:tcPr>
                <w:p w14:paraId="1A989B39"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Salas individuais – EPAGRI</w:t>
                  </w:r>
                </w:p>
              </w:tc>
              <w:tc>
                <w:tcPr>
                  <w:tcW w:w="1100" w:type="dxa"/>
                  <w:vAlign w:val="center"/>
                </w:tcPr>
                <w:p w14:paraId="6B879DA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06</w:t>
                  </w:r>
                </w:p>
              </w:tc>
              <w:tc>
                <w:tcPr>
                  <w:tcW w:w="4200" w:type="dxa"/>
                  <w:vAlign w:val="center"/>
                </w:tcPr>
                <w:p w14:paraId="4CB8794B"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1 servidor, com atendimento para 2 pessoas cada</w:t>
                  </w:r>
                </w:p>
              </w:tc>
            </w:tr>
            <w:tr w:rsidR="005276D7" w:rsidRPr="00A44935" w14:paraId="6F47D28D" w14:textId="77777777" w:rsidTr="007022DD">
              <w:tc>
                <w:tcPr>
                  <w:tcW w:w="3900" w:type="dxa"/>
                  <w:vAlign w:val="center"/>
                </w:tcPr>
                <w:p w14:paraId="3D7761D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Salas individuais – CIDASC</w:t>
                  </w:r>
                </w:p>
              </w:tc>
              <w:tc>
                <w:tcPr>
                  <w:tcW w:w="1100" w:type="dxa"/>
                  <w:vAlign w:val="center"/>
                </w:tcPr>
                <w:p w14:paraId="27F26408"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04</w:t>
                  </w:r>
                </w:p>
              </w:tc>
              <w:tc>
                <w:tcPr>
                  <w:tcW w:w="4200" w:type="dxa"/>
                  <w:vAlign w:val="center"/>
                </w:tcPr>
                <w:p w14:paraId="18F44D57"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1 servidor, com atendimento para 2 pessoas cada</w:t>
                  </w:r>
                </w:p>
              </w:tc>
            </w:tr>
            <w:tr w:rsidR="005276D7" w:rsidRPr="00A44935" w14:paraId="4C8EECD7" w14:textId="77777777" w:rsidTr="007022DD">
              <w:tc>
                <w:tcPr>
                  <w:tcW w:w="3900" w:type="dxa"/>
                  <w:vAlign w:val="center"/>
                </w:tcPr>
                <w:p w14:paraId="31656428"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de reuniões</w:t>
                  </w:r>
                </w:p>
              </w:tc>
              <w:tc>
                <w:tcPr>
                  <w:tcW w:w="1100" w:type="dxa"/>
                  <w:vAlign w:val="center"/>
                </w:tcPr>
                <w:p w14:paraId="19C032F7"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7D6FFECD"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Capacidade para 12 pessoas</w:t>
                  </w:r>
                </w:p>
              </w:tc>
            </w:tr>
            <w:tr w:rsidR="005276D7" w:rsidRPr="00A44935" w14:paraId="676DEB51" w14:textId="77777777" w:rsidTr="007022DD">
              <w:tc>
                <w:tcPr>
                  <w:tcW w:w="3900" w:type="dxa"/>
                  <w:vAlign w:val="center"/>
                </w:tcPr>
                <w:p w14:paraId="2220E360"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da Defesa Civil – controle de crises/comando</w:t>
                  </w:r>
                </w:p>
              </w:tc>
              <w:tc>
                <w:tcPr>
                  <w:tcW w:w="1100" w:type="dxa"/>
                  <w:vAlign w:val="center"/>
                </w:tcPr>
                <w:p w14:paraId="62BFA999"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6DDA369C"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Infraestrutura de lógica e comunicação reforçada e previsão de alimentação elétrica de emergência</w:t>
                  </w:r>
                </w:p>
              </w:tc>
            </w:tr>
            <w:tr w:rsidR="005276D7" w:rsidRPr="00A44935" w14:paraId="63505069" w14:textId="77777777" w:rsidTr="007022DD">
              <w:tc>
                <w:tcPr>
                  <w:tcW w:w="3900" w:type="dxa"/>
                  <w:vAlign w:val="center"/>
                </w:tcPr>
                <w:p w14:paraId="7EE96AF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Cozinha</w:t>
                  </w:r>
                </w:p>
              </w:tc>
              <w:tc>
                <w:tcPr>
                  <w:tcW w:w="1100" w:type="dxa"/>
                  <w:vAlign w:val="center"/>
                </w:tcPr>
                <w:p w14:paraId="5BB8D507"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5CD144FC"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w:t>
                  </w:r>
                </w:p>
              </w:tc>
            </w:tr>
            <w:tr w:rsidR="005276D7" w:rsidRPr="00A44935" w14:paraId="555AA5B9" w14:textId="77777777" w:rsidTr="007022DD">
              <w:tc>
                <w:tcPr>
                  <w:tcW w:w="3900" w:type="dxa"/>
                  <w:vAlign w:val="center"/>
                </w:tcPr>
                <w:p w14:paraId="1B29B65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Lavanderia</w:t>
                  </w:r>
                </w:p>
              </w:tc>
              <w:tc>
                <w:tcPr>
                  <w:tcW w:w="1100" w:type="dxa"/>
                  <w:vAlign w:val="center"/>
                </w:tcPr>
                <w:p w14:paraId="2A442A07"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140D17E7"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w:t>
                  </w:r>
                </w:p>
              </w:tc>
            </w:tr>
            <w:tr w:rsidR="005276D7" w:rsidRPr="00A44935" w14:paraId="33ECD051" w14:textId="77777777" w:rsidTr="007022DD">
              <w:tc>
                <w:tcPr>
                  <w:tcW w:w="3900" w:type="dxa"/>
                  <w:vAlign w:val="center"/>
                </w:tcPr>
                <w:p w14:paraId="11949BE0"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Banheiros masculino e feminino acessíveis</w:t>
                  </w:r>
                </w:p>
              </w:tc>
              <w:tc>
                <w:tcPr>
                  <w:tcW w:w="1100" w:type="dxa"/>
                  <w:vAlign w:val="center"/>
                </w:tcPr>
                <w:p w14:paraId="0D2CA8E9"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02</w:t>
                  </w:r>
                </w:p>
              </w:tc>
              <w:tc>
                <w:tcPr>
                  <w:tcW w:w="4200" w:type="dxa"/>
                  <w:vAlign w:val="center"/>
                </w:tcPr>
                <w:p w14:paraId="05589F88"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Conforme ABNT NBR 9050</w:t>
                  </w:r>
                </w:p>
              </w:tc>
            </w:tr>
            <w:tr w:rsidR="005276D7" w:rsidRPr="00A44935" w14:paraId="4F578403" w14:textId="77777777" w:rsidTr="007022DD">
              <w:tc>
                <w:tcPr>
                  <w:tcW w:w="3900" w:type="dxa"/>
                  <w:vAlign w:val="center"/>
                </w:tcPr>
                <w:p w14:paraId="1F0077D6"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Corredor/circulação de espera</w:t>
                  </w:r>
                </w:p>
              </w:tc>
              <w:tc>
                <w:tcPr>
                  <w:tcW w:w="1100" w:type="dxa"/>
                  <w:vAlign w:val="center"/>
                </w:tcPr>
                <w:p w14:paraId="7002205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w:t>
                  </w:r>
                </w:p>
              </w:tc>
              <w:tc>
                <w:tcPr>
                  <w:tcW w:w="4200" w:type="dxa"/>
                  <w:vAlign w:val="center"/>
                </w:tcPr>
                <w:p w14:paraId="1CA05E8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Largura aproximada de 4,00 m, com espaço para longarinas (assentos de espera)</w:t>
                  </w:r>
                </w:p>
              </w:tc>
            </w:tr>
            <w:tr w:rsidR="005276D7" w:rsidRPr="00A44935" w14:paraId="41B44737" w14:textId="77777777" w:rsidTr="007022DD">
              <w:tc>
                <w:tcPr>
                  <w:tcW w:w="3900" w:type="dxa"/>
                  <w:vAlign w:val="center"/>
                </w:tcPr>
                <w:p w14:paraId="6B70438D"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Acabamento de piso</w:t>
                  </w:r>
                </w:p>
              </w:tc>
              <w:tc>
                <w:tcPr>
                  <w:tcW w:w="1100" w:type="dxa"/>
                  <w:vAlign w:val="center"/>
                </w:tcPr>
                <w:p w14:paraId="4CDC579B"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w:t>
                  </w:r>
                </w:p>
              </w:tc>
              <w:tc>
                <w:tcPr>
                  <w:tcW w:w="4200" w:type="dxa"/>
                  <w:vAlign w:val="center"/>
                </w:tcPr>
                <w:p w14:paraId="3C19B7FD"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Concreto polido, salvo áreas molhadas quando tecnicamente justificado</w:t>
                  </w:r>
                </w:p>
              </w:tc>
            </w:tr>
            <w:tr w:rsidR="005276D7" w:rsidRPr="00A44935" w14:paraId="3D024F45" w14:textId="77777777" w:rsidTr="007022DD">
              <w:tc>
                <w:tcPr>
                  <w:tcW w:w="9200" w:type="dxa"/>
                  <w:gridSpan w:val="3"/>
                  <w:shd w:val="clear" w:color="auto" w:fill="EDEDED"/>
                </w:tcPr>
                <w:p w14:paraId="3C1CEECF"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b/>
                      <w:bCs/>
                    </w:rPr>
                    <w:t>SUBSOLO</w:t>
                  </w:r>
                </w:p>
              </w:tc>
            </w:tr>
            <w:tr w:rsidR="005276D7" w:rsidRPr="00A44935" w14:paraId="7751FA85" w14:textId="77777777" w:rsidTr="007022DD">
              <w:tc>
                <w:tcPr>
                  <w:tcW w:w="3900" w:type="dxa"/>
                  <w:vAlign w:val="center"/>
                </w:tcPr>
                <w:p w14:paraId="1CA7DC44"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Sala de depósito do Viveiro</w:t>
                  </w:r>
                </w:p>
              </w:tc>
              <w:tc>
                <w:tcPr>
                  <w:tcW w:w="1100" w:type="dxa"/>
                  <w:vAlign w:val="center"/>
                </w:tcPr>
                <w:p w14:paraId="6EB9DA24"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6AF2952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Aproximadamente 8,00 x 6,00 m (48 m²)</w:t>
                  </w:r>
                </w:p>
              </w:tc>
            </w:tr>
            <w:tr w:rsidR="005276D7" w:rsidRPr="00A44935" w14:paraId="2EFF22BF" w14:textId="77777777" w:rsidTr="007022DD">
              <w:tc>
                <w:tcPr>
                  <w:tcW w:w="3900" w:type="dxa"/>
                  <w:vAlign w:val="center"/>
                </w:tcPr>
                <w:p w14:paraId="1F04C76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Banheiro</w:t>
                  </w:r>
                </w:p>
              </w:tc>
              <w:tc>
                <w:tcPr>
                  <w:tcW w:w="1100" w:type="dxa"/>
                  <w:vAlign w:val="center"/>
                </w:tcPr>
                <w:p w14:paraId="1562F42B"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103DD41D"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w:t>
                  </w:r>
                </w:p>
              </w:tc>
            </w:tr>
            <w:tr w:rsidR="005276D7" w:rsidRPr="00A44935" w14:paraId="60F3E865" w14:textId="77777777" w:rsidTr="007022DD">
              <w:tc>
                <w:tcPr>
                  <w:tcW w:w="3900" w:type="dxa"/>
                  <w:vAlign w:val="center"/>
                </w:tcPr>
                <w:p w14:paraId="0CE4B46F"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Área coberta para produção</w:t>
                  </w:r>
                </w:p>
              </w:tc>
              <w:tc>
                <w:tcPr>
                  <w:tcW w:w="1100" w:type="dxa"/>
                  <w:vAlign w:val="center"/>
                </w:tcPr>
                <w:p w14:paraId="3CEABEE5"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14AA365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Aproximadamente 6,00 x 6,00 m (36 m²), podendo constituir a varanda do depósito</w:t>
                  </w:r>
                </w:p>
              </w:tc>
            </w:tr>
            <w:tr w:rsidR="005276D7" w:rsidRPr="00A44935" w14:paraId="6790AF27" w14:textId="77777777" w:rsidTr="007022DD">
              <w:tc>
                <w:tcPr>
                  <w:tcW w:w="9200" w:type="dxa"/>
                  <w:gridSpan w:val="3"/>
                  <w:shd w:val="clear" w:color="auto" w:fill="EDEDED"/>
                </w:tcPr>
                <w:p w14:paraId="08275265"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b/>
                      <w:bCs/>
                    </w:rPr>
                    <w:t>ESTACIONAMENTO</w:t>
                  </w:r>
                </w:p>
              </w:tc>
            </w:tr>
            <w:tr w:rsidR="005276D7" w:rsidRPr="00A44935" w14:paraId="2E60A09B" w14:textId="77777777" w:rsidTr="007022DD">
              <w:tc>
                <w:tcPr>
                  <w:tcW w:w="3900" w:type="dxa"/>
                  <w:vAlign w:val="center"/>
                </w:tcPr>
                <w:p w14:paraId="349C496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Vagas para veículos oficiais</w:t>
                  </w:r>
                </w:p>
              </w:tc>
              <w:tc>
                <w:tcPr>
                  <w:tcW w:w="1100" w:type="dxa"/>
                  <w:vAlign w:val="center"/>
                </w:tcPr>
                <w:p w14:paraId="6AB9C7C4"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10</w:t>
                  </w:r>
                </w:p>
              </w:tc>
              <w:tc>
                <w:tcPr>
                  <w:tcW w:w="4200" w:type="dxa"/>
                  <w:vAlign w:val="center"/>
                </w:tcPr>
                <w:p w14:paraId="74319CF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Localização no subsolo e/ou em área externa, conforme melhor solução técnica</w:t>
                  </w:r>
                </w:p>
              </w:tc>
            </w:tr>
            <w:tr w:rsidR="005276D7" w:rsidRPr="00A44935" w14:paraId="06F69F51" w14:textId="77777777" w:rsidTr="007022DD">
              <w:tc>
                <w:tcPr>
                  <w:tcW w:w="3900" w:type="dxa"/>
                  <w:vAlign w:val="center"/>
                </w:tcPr>
                <w:p w14:paraId="4BFE162D"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Vagas para veículos particulares</w:t>
                  </w:r>
                </w:p>
              </w:tc>
              <w:tc>
                <w:tcPr>
                  <w:tcW w:w="1100" w:type="dxa"/>
                  <w:vAlign w:val="center"/>
                </w:tcPr>
                <w:p w14:paraId="6DA59B34"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10</w:t>
                  </w:r>
                </w:p>
              </w:tc>
              <w:tc>
                <w:tcPr>
                  <w:tcW w:w="4200" w:type="dxa"/>
                  <w:vAlign w:val="center"/>
                </w:tcPr>
                <w:p w14:paraId="05401873"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Incluídas as vagas reservadas a pessoas com deficiência e idosos, na forma da lei</w:t>
                  </w:r>
                </w:p>
              </w:tc>
            </w:tr>
            <w:tr w:rsidR="005276D7" w:rsidRPr="00A44935" w14:paraId="6F04D4A6" w14:textId="77777777" w:rsidTr="007022DD">
              <w:tc>
                <w:tcPr>
                  <w:tcW w:w="3900" w:type="dxa"/>
                  <w:vAlign w:val="center"/>
                </w:tcPr>
                <w:p w14:paraId="3E4A87F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Infraestrutura de estacionamento e acesso</w:t>
                  </w:r>
                </w:p>
              </w:tc>
              <w:tc>
                <w:tcPr>
                  <w:tcW w:w="1100" w:type="dxa"/>
                  <w:vAlign w:val="center"/>
                </w:tcPr>
                <w:p w14:paraId="4C500380"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w:t>
                  </w:r>
                </w:p>
              </w:tc>
              <w:tc>
                <w:tcPr>
                  <w:tcW w:w="4200" w:type="dxa"/>
                  <w:vAlign w:val="center"/>
                </w:tcPr>
                <w:p w14:paraId="34A31261"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Em frente ou ao lado da edificação, com estudo de entrada e saída de veículos da rodovia</w:t>
                  </w:r>
                </w:p>
              </w:tc>
            </w:tr>
            <w:tr w:rsidR="005276D7" w:rsidRPr="00A44935" w14:paraId="7BFB9D38" w14:textId="77777777" w:rsidTr="007022DD">
              <w:tc>
                <w:tcPr>
                  <w:tcW w:w="9200" w:type="dxa"/>
                  <w:gridSpan w:val="3"/>
                  <w:shd w:val="clear" w:color="auto" w:fill="EDEDED"/>
                </w:tcPr>
                <w:p w14:paraId="275ED419"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b/>
                      <w:bCs/>
                    </w:rPr>
                    <w:t>VIVEIRO MUNICIPAL</w:t>
                  </w:r>
                </w:p>
              </w:tc>
            </w:tr>
            <w:tr w:rsidR="005276D7" w:rsidRPr="00A44935" w14:paraId="3F75707F" w14:textId="77777777" w:rsidTr="007022DD">
              <w:tc>
                <w:tcPr>
                  <w:tcW w:w="3900" w:type="dxa"/>
                  <w:vAlign w:val="center"/>
                </w:tcPr>
                <w:p w14:paraId="7ECB5AE3"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Estufa coberta com filme plástico agrícola (UVAB)</w:t>
                  </w:r>
                </w:p>
              </w:tc>
              <w:tc>
                <w:tcPr>
                  <w:tcW w:w="1100" w:type="dxa"/>
                  <w:vAlign w:val="center"/>
                </w:tcPr>
                <w:p w14:paraId="5A6AA5E2"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486AACD6"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Aproximadamente 30,00 x 8,00 m (240 m²)</w:t>
                  </w:r>
                </w:p>
              </w:tc>
            </w:tr>
            <w:tr w:rsidR="005276D7" w:rsidRPr="00A44935" w14:paraId="75BEEF40" w14:textId="77777777" w:rsidTr="007022DD">
              <w:tc>
                <w:tcPr>
                  <w:tcW w:w="3900" w:type="dxa"/>
                  <w:vAlign w:val="center"/>
                </w:tcPr>
                <w:p w14:paraId="1769A16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Área coberta com tela de sombreamento (sombrite)</w:t>
                  </w:r>
                </w:p>
              </w:tc>
              <w:tc>
                <w:tcPr>
                  <w:tcW w:w="1100" w:type="dxa"/>
                  <w:vAlign w:val="center"/>
                </w:tcPr>
                <w:p w14:paraId="4A621AD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30ACF1A4"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Aproximadamente 30,00 x 40,00 m (1.200 m²)</w:t>
                  </w:r>
                </w:p>
              </w:tc>
            </w:tr>
            <w:tr w:rsidR="005276D7" w:rsidRPr="00A44935" w14:paraId="3588DCF7" w14:textId="77777777" w:rsidTr="007022DD">
              <w:tc>
                <w:tcPr>
                  <w:tcW w:w="3900" w:type="dxa"/>
                  <w:vAlign w:val="center"/>
                </w:tcPr>
                <w:p w14:paraId="38ED5FD0"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Sistema de irrigação</w:t>
                  </w:r>
                </w:p>
              </w:tc>
              <w:tc>
                <w:tcPr>
                  <w:tcW w:w="1100" w:type="dxa"/>
                  <w:vAlign w:val="center"/>
                </w:tcPr>
                <w:p w14:paraId="05818841"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5554E959"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Dimensionado para estufa e área de sombrite</w:t>
                  </w:r>
                </w:p>
              </w:tc>
            </w:tr>
            <w:tr w:rsidR="005276D7" w:rsidRPr="00A44935" w14:paraId="6FA689FE" w14:textId="77777777" w:rsidTr="007022DD">
              <w:tc>
                <w:tcPr>
                  <w:tcW w:w="3900" w:type="dxa"/>
                  <w:vAlign w:val="center"/>
                </w:tcPr>
                <w:p w14:paraId="5E91BD34"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lastRenderedPageBreak/>
                    <w:t>Reservatório de água</w:t>
                  </w:r>
                </w:p>
              </w:tc>
              <w:tc>
                <w:tcPr>
                  <w:tcW w:w="1100" w:type="dxa"/>
                  <w:vAlign w:val="center"/>
                </w:tcPr>
                <w:p w14:paraId="18146D0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01</w:t>
                  </w:r>
                </w:p>
              </w:tc>
              <w:tc>
                <w:tcPr>
                  <w:tcW w:w="4200" w:type="dxa"/>
                  <w:vAlign w:val="center"/>
                </w:tcPr>
                <w:p w14:paraId="62A85A8C"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Capacidade de 20.000 litros</w:t>
                  </w:r>
                </w:p>
              </w:tc>
            </w:tr>
          </w:tbl>
          <w:p w14:paraId="6308CD02" w14:textId="77777777" w:rsidR="005276D7" w:rsidRPr="00A44935" w:rsidRDefault="005276D7" w:rsidP="00A44935">
            <w:pPr>
              <w:spacing w:after="0" w:line="240" w:lineRule="auto"/>
              <w:jc w:val="both"/>
              <w:rPr>
                <w:rFonts w:ascii="Times New Roman" w:hAnsi="Times New Roman"/>
              </w:rPr>
            </w:pPr>
          </w:p>
          <w:p w14:paraId="63ADA9C1"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área construída estimada de até 500 m² refere-se à edificação (pavimento principal e subsolo). Variações decorrentes do desenvolvimento técnico deverão ser justificadas e aprovadas pela Administração.</w:t>
            </w:r>
          </w:p>
          <w:p w14:paraId="18563DC3"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Escopo mínimo dos serviços:</w:t>
            </w:r>
          </w:p>
          <w:p w14:paraId="3F8C23DA"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A) Estudos e levantamentos preliminares</w:t>
            </w:r>
          </w:p>
          <w:p w14:paraId="7E483D0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levantamento planialtimétrico cadastral do terreno e do entorno imediato (ABNT NBR 13133), com curvas de nível de metro em metro, divisas, edificações e árvores existentes, redes de infraestrutura, faixa de domínio e bordo da rodovia lindeira, referenciado a marco topográfico;</w:t>
            </w:r>
          </w:p>
          <w:p w14:paraId="34595543"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 xml:space="preserve">b) sondagem do solo à percussão – SPT (ABNT NBR 6484), em quantidade e locação definidas conforme ABNT NBR 8036, com </w:t>
            </w:r>
            <w:r w:rsidRPr="00A44935">
              <w:rPr>
                <w:rFonts w:ascii="Times New Roman" w:eastAsia="Times New Roman" w:hAnsi="Times New Roman"/>
                <w:b/>
                <w:bCs/>
              </w:rPr>
              <w:t>no mínimo 03 (três) furos</w:t>
            </w:r>
            <w:r w:rsidRPr="00A44935">
              <w:rPr>
                <w:rFonts w:ascii="Times New Roman" w:eastAsia="Times New Roman" w:hAnsi="Times New Roman"/>
              </w:rPr>
              <w:t xml:space="preserve"> na projeção da edificação, laudo técnico, perfis individuais e indicação do nível do lençol freático, considerada a existência de subsolo;</w:t>
            </w:r>
          </w:p>
          <w:p w14:paraId="6228B59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ensaio de infiltração/percolação do solo, caso o esgotamento sanitário demande sistema de tratamento individual (ABNT NBR 13969);</w:t>
            </w:r>
          </w:p>
          <w:p w14:paraId="4ECB624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consultas de viabilidade às concessionárias de energia elétrica e de água e esgoto, e levantamento da legislação urbanística e ambiental incidente sobre o terreno;</w:t>
            </w:r>
          </w:p>
          <w:p w14:paraId="6B864AB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consolidação do programa de necessidades junto à Secretaria demandante, à EPAGRI, à CIDASC e à Defesa Civil, com registro em ata.</w:t>
            </w:r>
          </w:p>
          <w:p w14:paraId="19EDDB53"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B) Projeto arquitetônico</w:t>
            </w:r>
          </w:p>
          <w:p w14:paraId="5503CE8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estudo preliminar, com implantação geral da edificação, do estacionamento e do Viveiro Municipal, submetido à validação da Administração antes do prosseguimento dos trabalhos;</w:t>
            </w:r>
          </w:p>
          <w:p w14:paraId="0E15EC0E"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anteprojeto e projeto legal, apto à aprovação junto ao Município (Código de Obras e Plano Diretor de Palmitos/SC);</w:t>
            </w:r>
          </w:p>
          <w:p w14:paraId="7A0D899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projeto executivo arquitetônico: plantas baixas, cortes, fachadas, planta de cobertura, planta de layout, detalhamento de áreas molhadas, cozinha e lavanderia, paginação de pisos (inclusive juntas do concreto polido), forros, bancadas, escadas e rampas, quadro de esquadrias e quadro de acabamentos;</w:t>
            </w:r>
          </w:p>
          <w:p w14:paraId="74650C2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perspectivas eletrônicas ilustrativas (no mínimo 04 imagens), aptas à apresentação do empreendimento e à instrução de pedidos de captação de recursos.</w:t>
            </w:r>
          </w:p>
          <w:p w14:paraId="6390E067"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C) Implantação, terraplenagem, estacionamento e acesso rodoviário</w:t>
            </w:r>
          </w:p>
          <w:p w14:paraId="47FDC953"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projeto de implantação e urbanização, com calçadas e rotas acessíveis, paisagismo básico, fechamentos e iluminação externa;</w:t>
            </w:r>
          </w:p>
          <w:p w14:paraId="6E21634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projeto de terraplenagem, com cortes, aterros, volumes e seções, compatível com a execução do subsolo;</w:t>
            </w:r>
          </w:p>
          <w:p w14:paraId="11EB34E7"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projeto de estacionamento para 10 (dez) veículos oficiais e 10 (dez) veículos particulares, com reserva de vagas para pessoas com deficiência (art. 47 da Lei nº 13.146/2015) e para idosos (art. 41 da Lei nº 10.741/2003), pavimentação, drenagem e sinalização horizontal e vertical;</w:t>
            </w:r>
          </w:p>
          <w:p w14:paraId="075930C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estudo e projeto geométrico do acesso de entrada e saída de veículos da rodovia, com sinalização, observadas as normas do órgão com circunscrição sobre a via, incluindo a documentação técnica necessária ao pedido de autorização de acesso.</w:t>
            </w:r>
          </w:p>
          <w:p w14:paraId="03AFFD63"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D) Estrutura, fundações, contenções e impermeabilização</w:t>
            </w:r>
          </w:p>
          <w:p w14:paraId="119864F5"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projeto estrutural completo (ABNT NBR 6118 e demais aplicáveis), com memorial de cálculo, plantas de formas e armaduras e quantitativos, admitida a adoção de sistema pré-moldado ou metálico mediante justificativa técnica e econômica;</w:t>
            </w:r>
          </w:p>
          <w:p w14:paraId="1E65C20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projeto de fundações (ABNT NBR 6122), elaborado com base no laudo de sondagem;</w:t>
            </w:r>
          </w:p>
          <w:p w14:paraId="40D06047"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projeto de contenções do subsolo (muros de arrimo ou cortinas), com drenagem;</w:t>
            </w:r>
          </w:p>
          <w:p w14:paraId="150A5B5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projeto de impermeabilização (ABNT NBR 9575), em especial do subsolo, lajes e áreas molhadas;</w:t>
            </w:r>
          </w:p>
          <w:p w14:paraId="495DC58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projeto das estruturas da estufa, da área de sombrite e da base do reservatório do Viveiro Municipal.</w:t>
            </w:r>
          </w:p>
          <w:p w14:paraId="2D6FD876"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E) Instalações hidrossanitárias e pluviais</w:t>
            </w:r>
          </w:p>
          <w:p w14:paraId="36CFE97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instalações de água fria e, onde necessário, água quente (ABNT NBR 5626), com dimensionamento de reservatórios;</w:t>
            </w:r>
          </w:p>
          <w:p w14:paraId="613CD98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instalações de esgoto sanitário (ABNT NBR 8160) e, inexistindo rede pública, sistema de tratamento individual (ABNT NBR 7229 e NBR 13969);</w:t>
            </w:r>
          </w:p>
          <w:p w14:paraId="767181E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instalações de águas pluviais (ABNT NBR 10844), com calhas, condutores, caixas e ligação ao sistema de drenagem;</w:t>
            </w:r>
          </w:p>
          <w:p w14:paraId="7B908846"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estudo de viabilidade e, sendo viável, projeto de aproveitamento de água de chuva (ABNT NBR 15527) para irrigação do Viveiro e usos não potáveis;</w:t>
            </w:r>
          </w:p>
          <w:p w14:paraId="72C8E93A"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lastRenderedPageBreak/>
              <w:t>e) sistema de irrigação do Viveiro Municipal e reservatório de 20.000 litros, com conjunto motobomba, se necessário.</w:t>
            </w:r>
          </w:p>
          <w:p w14:paraId="20A84365"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F) Instalações elétricas, SPDA e cabeamento estruturado</w:t>
            </w:r>
          </w:p>
          <w:p w14:paraId="722E2DC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projeto elétrico de baixa tensão (ABNT NBR 5410), com entrada de energia conforme normas da concessionária, cálculo de demanda, quadros, diagramas unifilares, iluminação interna e externa (inclusive do estacionamento) e tomadas;</w:t>
            </w:r>
          </w:p>
          <w:p w14:paraId="709E9B4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infraestrutura para climatização (circuitos, drenos e posicionamento de condensadoras) e alimentação dos equipamentos do Viveiro;</w:t>
            </w:r>
          </w:p>
          <w:p w14:paraId="0FB711EA"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previsão de alimentação elétrica de emergência (ponto para grupo gerador e/ou nobreak) para a Sala da Defesa Civil e para o rack de dados;</w:t>
            </w:r>
          </w:p>
          <w:p w14:paraId="7D36F6E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infraestrutura para futura instalação de sistema de geração fotovoltaica, quando tecnicamente viável;</w:t>
            </w:r>
          </w:p>
          <w:p w14:paraId="40A9EA6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Sistema de Proteção contra Descargas Atmosféricas – SPDA e aterramento (ABNT NBR 5419), com análise de gerenciamento de risco;</w:t>
            </w:r>
          </w:p>
          <w:p w14:paraId="51927B83"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f) cabeamento estruturado (lógica, telefonia e rede sem fio – ABNT NBR 14565) e infraestrutura seca para CFTV e alarme.</w:t>
            </w:r>
          </w:p>
          <w:p w14:paraId="7B99215C"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G) Prevenção contra incêndio e acessibilidade</w:t>
            </w:r>
          </w:p>
          <w:p w14:paraId="3CA1BF4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Projeto Preventivo contra Incêndio e Pânico (PPCI), conforme as Instruções Normativas do Corpo de Bombeiros Militar de Santa Catarina (CBMSC), incluindo protocolo, acompanhamento e atendimento às exigências até a aprovação;</w:t>
            </w:r>
          </w:p>
          <w:p w14:paraId="2434068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projeto e memorial de acessibilidade (ABNT NBR 9050 e NBR 16537), abrangendo rotas acessíveis externas e internas, sanitários, sinalização tátil e visual, vagas reservadas e solução de circulação vertical entre o subsolo e o pavimento principal, quando exigível.</w:t>
            </w:r>
          </w:p>
          <w:p w14:paraId="7AEBF715"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H) Orçamento, memoriais e documentos para licitação da obra</w:t>
            </w:r>
          </w:p>
          <w:p w14:paraId="4972D2BF"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memorial descritivo e especificações técnicas (caderno de encargos) de todas as disciplinas;</w:t>
            </w:r>
          </w:p>
          <w:p w14:paraId="550BB57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memória de cálculo dos quantitativos, por disciplina;</w:t>
            </w:r>
          </w:p>
          <w:p w14:paraId="3D3C718A"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planilha orçamentária sintética e analítica, com e sem BDI, elaborada preferencialmente com base no SINAPI (art. 23, § 2º, da Lei nº 14.133/2021), com indicação da data-base e do regime de desoneração adotado;</w:t>
            </w:r>
          </w:p>
          <w:p w14:paraId="52DC8B8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composições de custos unitários e, para itens sem referência oficial, cotações de mercado (mínimo de 03) com composição própria justificada;</w:t>
            </w:r>
          </w:p>
          <w:p w14:paraId="71E1B66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composição detalhada do BDI e dos encargos sociais, observados os parâmetros do Tribunal de Contas da União;</w:t>
            </w:r>
          </w:p>
          <w:p w14:paraId="7B203B27"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f) curva ABC de serviços e cronograma físico-financeiro, com indicação de possível execução em etapas;</w:t>
            </w:r>
          </w:p>
          <w:p w14:paraId="1E8A32FE"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g) relatório de compatibilização entre as disciplinas;</w:t>
            </w:r>
          </w:p>
          <w:p w14:paraId="36D2FC7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h) Anotações de Responsabilidade Técnica (ART) e/ou Registros de Responsabilidade Técnica (RRT) de todas as disciplinas.</w:t>
            </w:r>
          </w:p>
          <w:p w14:paraId="572B1713"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Normas e referências técnicas</w:t>
            </w:r>
          </w:p>
          <w:p w14:paraId="2B210B32"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Lei nº 14.133/2021 e regulamentos municipais aplicáveis;</w:t>
            </w:r>
          </w:p>
          <w:p w14:paraId="2DB74818"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Código de Obras, Plano Diretor e demais normas urbanísticas do Município de Palmitos/SC;</w:t>
            </w:r>
          </w:p>
          <w:p w14:paraId="6B558CC5"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legislação ambiental federal, estadual e municipal;</w:t>
            </w:r>
          </w:p>
          <w:p w14:paraId="4C06496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Lei nº 13.146/2015 (Estatuto da Pessoa com Deficiência), Decreto nº 5.296/2004 e Lei nº 10.741/2003 (Estatuto da Pessoa Idosa);</w:t>
            </w:r>
          </w:p>
          <w:p w14:paraId="283B5E6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Instruções Normativas do Corpo de Bombeiros Militar de Santa Catarina (CBMSC);</w:t>
            </w:r>
          </w:p>
          <w:p w14:paraId="08A212D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f) normas técnicas das concessionárias de energia elétrica e de saneamento e do órgão com circunscrição sobre a rodovia;</w:t>
            </w:r>
          </w:p>
          <w:p w14:paraId="4CB90E5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g) Normas Técnicas da ABNT vigentes, em especial NBR 16636 e NBR 13532 (projetos de edificações), NBR 13133, NBR 6484, NBR 8036, NBR 6118, NBR 6122, NBR 9575, NBR 5626, NBR 8160, NBR 10844, NBR 7229, NBR 13969, NBR 15527, NBR 5410, NBR 5419, NBR 14565, NBR 9050, NBR 16537 e NBR 15575;</w:t>
            </w:r>
          </w:p>
          <w:p w14:paraId="72679902"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h) Sistema Nacional de Pesquisa de Custos e Índices da Construção Civil – SINAPI e, subsidiariamente, SICRO;</w:t>
            </w:r>
          </w:p>
          <w:p w14:paraId="5EB0382C" w14:textId="40E2738D"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i) demais legislações, regulamentos e normas técnicas pertinentes ao objeto.</w:t>
            </w:r>
          </w:p>
        </w:tc>
      </w:tr>
      <w:tr w:rsidR="005276D7" w:rsidRPr="00A44935" w14:paraId="7B738668" w14:textId="77777777" w:rsidTr="007022DD">
        <w:tc>
          <w:tcPr>
            <w:tcW w:w="822" w:type="dxa"/>
            <w:tcBorders>
              <w:top w:val="single" w:sz="4" w:space="0" w:color="000000"/>
              <w:left w:val="single" w:sz="4" w:space="0" w:color="000000"/>
              <w:bottom w:val="single" w:sz="4" w:space="0" w:color="000000"/>
              <w:right w:val="single" w:sz="4" w:space="0" w:color="000000"/>
            </w:tcBorders>
          </w:tcPr>
          <w:p w14:paraId="0F7F80C4"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3.</w:t>
            </w:r>
          </w:p>
        </w:tc>
        <w:tc>
          <w:tcPr>
            <w:tcW w:w="9640" w:type="dxa"/>
            <w:tcBorders>
              <w:top w:val="single" w:sz="4" w:space="0" w:color="000000"/>
              <w:left w:val="single" w:sz="4" w:space="0" w:color="000000"/>
              <w:bottom w:val="single" w:sz="4" w:space="0" w:color="000000"/>
              <w:right w:val="single" w:sz="4" w:space="0" w:color="000000"/>
            </w:tcBorders>
          </w:tcPr>
          <w:p w14:paraId="297B8F29"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Fundamentação da contratação.</w:t>
            </w:r>
          </w:p>
          <w:p w14:paraId="042FD4F7"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 xml:space="preserve">A contratação fundamenta-se no Estudo Técnico Preliminar correspondente, elaborado nos termos do art. 18 da Lei nº 14.133/2021, que analisou a necessidade administrativa, as alternativas de mercado, os riscos, </w:t>
            </w:r>
            <w:r w:rsidRPr="00A44935">
              <w:rPr>
                <w:rFonts w:ascii="Times New Roman" w:eastAsia="Times New Roman" w:hAnsi="Times New Roman"/>
              </w:rPr>
              <w:lastRenderedPageBreak/>
              <w:t>a estimativa de preços e a viabilidade da contratação, concluindo pela adequação da contratação de empresa especializada para elaboração integrada dos estudos e projetos da nova sede da Secretaria Municipal de Agricultura e Meio Ambiente.</w:t>
            </w:r>
          </w:p>
          <w:p w14:paraId="22964F78" w14:textId="3E03108E"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Conforme demonstrado no ETP, a ausência dos projetos impede a definição precisa do objeto da obra, a estimativa confiável de seus custos, a obtenção das aprovações exigíveis e a captação de recursos, sendo vedada, como regra, a execução de obras sem projeto executivo (art. 46, § 1º, da Lei nº 14.133/2021).</w:t>
            </w:r>
          </w:p>
        </w:tc>
      </w:tr>
      <w:tr w:rsidR="005276D7" w:rsidRPr="00A44935" w14:paraId="55B0BDFF" w14:textId="77777777" w:rsidTr="007022DD">
        <w:tc>
          <w:tcPr>
            <w:tcW w:w="822" w:type="dxa"/>
            <w:tcBorders>
              <w:top w:val="single" w:sz="4" w:space="0" w:color="000000"/>
              <w:left w:val="single" w:sz="4" w:space="0" w:color="000000"/>
              <w:bottom w:val="single" w:sz="4" w:space="0" w:color="000000"/>
              <w:right w:val="single" w:sz="4" w:space="0" w:color="000000"/>
            </w:tcBorders>
          </w:tcPr>
          <w:p w14:paraId="19F83F7E"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4.</w:t>
            </w:r>
          </w:p>
        </w:tc>
        <w:tc>
          <w:tcPr>
            <w:tcW w:w="9640" w:type="dxa"/>
            <w:tcBorders>
              <w:top w:val="single" w:sz="4" w:space="0" w:color="000000"/>
              <w:left w:val="single" w:sz="4" w:space="0" w:color="000000"/>
              <w:bottom w:val="single" w:sz="4" w:space="0" w:color="000000"/>
              <w:right w:val="single" w:sz="4" w:space="0" w:color="000000"/>
            </w:tcBorders>
          </w:tcPr>
          <w:p w14:paraId="63A8740D"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Descrição da solução como um todo, considerado todo o ciclo de vida do objeto.</w:t>
            </w:r>
          </w:p>
          <w:p w14:paraId="5079082A"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solução consiste na elaboração, por empresa especializada, do conjunto integrado de estudos, projetos e documentos técnicos necessários à licitação, execução, fiscalização, operação e manutenção da nova sede e do Viveiro Municipal, considerando todo o ciclo de vida do empreendimento (art. 11, I, e art. 18, VIII, da Lei nº 14.133/2021):</w:t>
            </w:r>
          </w:p>
          <w:p w14:paraId="4E3B0D3F" w14:textId="77777777" w:rsidR="005276D7" w:rsidRPr="00A44935" w:rsidRDefault="005276D7" w:rsidP="00A44935">
            <w:pPr>
              <w:spacing w:after="0" w:line="240" w:lineRule="auto"/>
              <w:ind w:left="426" w:hanging="213"/>
              <w:jc w:val="both"/>
              <w:rPr>
                <w:rFonts w:ascii="Times New Roman" w:hAnsi="Times New Roman"/>
              </w:rPr>
            </w:pPr>
            <w:r w:rsidRPr="00A44935">
              <w:rPr>
                <w:rFonts w:ascii="Times New Roman" w:eastAsia="Times New Roman" w:hAnsi="Times New Roman"/>
              </w:rPr>
              <w:t xml:space="preserve">• </w:t>
            </w:r>
            <w:r w:rsidRPr="00A44935">
              <w:rPr>
                <w:rFonts w:ascii="Times New Roman" w:eastAsia="Times New Roman" w:hAnsi="Times New Roman"/>
                <w:b/>
                <w:bCs/>
              </w:rPr>
              <w:t>Planejamento:</w:t>
            </w:r>
            <w:r w:rsidRPr="00A44935">
              <w:rPr>
                <w:rFonts w:ascii="Times New Roman" w:eastAsia="Times New Roman" w:hAnsi="Times New Roman"/>
              </w:rPr>
              <w:t xml:space="preserve"> levantamentos de campo, consolidação do programa de necessidades e definição das soluções técnicas;</w:t>
            </w:r>
          </w:p>
          <w:p w14:paraId="4A78097F" w14:textId="77777777" w:rsidR="005276D7" w:rsidRPr="00A44935" w:rsidRDefault="005276D7" w:rsidP="00A44935">
            <w:pPr>
              <w:spacing w:after="0" w:line="240" w:lineRule="auto"/>
              <w:ind w:left="426" w:hanging="213"/>
              <w:jc w:val="both"/>
              <w:rPr>
                <w:rFonts w:ascii="Times New Roman" w:hAnsi="Times New Roman"/>
              </w:rPr>
            </w:pPr>
            <w:r w:rsidRPr="00A44935">
              <w:rPr>
                <w:rFonts w:ascii="Times New Roman" w:eastAsia="Times New Roman" w:hAnsi="Times New Roman"/>
              </w:rPr>
              <w:t xml:space="preserve">• </w:t>
            </w:r>
            <w:r w:rsidRPr="00A44935">
              <w:rPr>
                <w:rFonts w:ascii="Times New Roman" w:eastAsia="Times New Roman" w:hAnsi="Times New Roman"/>
                <w:b/>
                <w:bCs/>
              </w:rPr>
              <w:t>Licitação e execução da obra:</w:t>
            </w:r>
            <w:r w:rsidRPr="00A44935">
              <w:rPr>
                <w:rFonts w:ascii="Times New Roman" w:eastAsia="Times New Roman" w:hAnsi="Times New Roman"/>
              </w:rPr>
              <w:t xml:space="preserve"> projetos executivos compatibilizados, orçamento com base em referenciais oficiais, cronograma e especificações que reduzam riscos de aditivos, além de suporte técnico durante a licitação e a execução;</w:t>
            </w:r>
          </w:p>
          <w:p w14:paraId="7DC3A57E" w14:textId="4A77D1A5" w:rsidR="005276D7" w:rsidRPr="00A44935" w:rsidRDefault="005276D7" w:rsidP="00A44935">
            <w:pPr>
              <w:spacing w:after="0" w:line="240" w:lineRule="auto"/>
              <w:ind w:left="426" w:hanging="213"/>
              <w:jc w:val="both"/>
              <w:rPr>
                <w:rFonts w:ascii="Times New Roman" w:hAnsi="Times New Roman"/>
              </w:rPr>
            </w:pPr>
            <w:r w:rsidRPr="00A44935">
              <w:rPr>
                <w:rFonts w:ascii="Times New Roman" w:eastAsia="Times New Roman" w:hAnsi="Times New Roman"/>
              </w:rPr>
              <w:t xml:space="preserve">• </w:t>
            </w:r>
            <w:r w:rsidRPr="00A44935">
              <w:rPr>
                <w:rFonts w:ascii="Times New Roman" w:eastAsia="Times New Roman" w:hAnsi="Times New Roman"/>
                <w:b/>
                <w:bCs/>
              </w:rPr>
              <w:t>Operação e manutenção:</w:t>
            </w:r>
            <w:r w:rsidRPr="00A44935">
              <w:rPr>
                <w:rFonts w:ascii="Times New Roman" w:eastAsia="Times New Roman" w:hAnsi="Times New Roman"/>
              </w:rPr>
              <w:t xml:space="preserve"> materiais duráveis e de baixa manutenção (como o piso em concreto polido), eficiência energética, aproveitamento de água de chuva, facilidade de acesso às instalações e flexibilidade de layout para futuras adequações.</w:t>
            </w:r>
          </w:p>
        </w:tc>
      </w:tr>
      <w:tr w:rsidR="005276D7" w:rsidRPr="00A44935" w14:paraId="4768D90F" w14:textId="77777777" w:rsidTr="007022DD">
        <w:tc>
          <w:tcPr>
            <w:tcW w:w="822" w:type="dxa"/>
            <w:tcBorders>
              <w:top w:val="single" w:sz="4" w:space="0" w:color="000000"/>
              <w:left w:val="single" w:sz="4" w:space="0" w:color="000000"/>
              <w:bottom w:val="single" w:sz="4" w:space="0" w:color="000000"/>
              <w:right w:val="single" w:sz="4" w:space="0" w:color="000000"/>
            </w:tcBorders>
          </w:tcPr>
          <w:p w14:paraId="7875B6C6"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5.</w:t>
            </w:r>
          </w:p>
        </w:tc>
        <w:tc>
          <w:tcPr>
            <w:tcW w:w="9640" w:type="dxa"/>
            <w:tcBorders>
              <w:top w:val="single" w:sz="4" w:space="0" w:color="000000"/>
              <w:left w:val="single" w:sz="4" w:space="0" w:color="000000"/>
              <w:bottom w:val="single" w:sz="4" w:space="0" w:color="000000"/>
              <w:right w:val="single" w:sz="4" w:space="0" w:color="000000"/>
            </w:tcBorders>
          </w:tcPr>
          <w:p w14:paraId="56F1D3A6"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Requisitos da contratação.</w:t>
            </w:r>
          </w:p>
          <w:p w14:paraId="16515BC0"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PESSOA JURÍDICA</w:t>
            </w:r>
          </w:p>
          <w:p w14:paraId="4A39A36D"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Declaração de que atende aos requisitos de habilitação (art. 63, I, da Lei nº 14.133/2021);</w:t>
            </w:r>
          </w:p>
          <w:p w14:paraId="203F5BCD"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Declaração de cumprimento da reserva de cargos para pessoa com deficiência e reabilitado da Previdência Social (art. 63, IV);</w:t>
            </w:r>
          </w:p>
          <w:p w14:paraId="39B17AB9"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Declaração de inexistência de impedimentos;</w:t>
            </w:r>
          </w:p>
          <w:p w14:paraId="68BDEE56"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Declaração de cumprimento do disposto no inciso XXXIII do art. 7º da Constituição Federal (art. 68, VI).</w:t>
            </w:r>
          </w:p>
          <w:p w14:paraId="596D3EFE"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HABILITAÇÃO JURÍDICA (art. 66)</w:t>
            </w:r>
          </w:p>
          <w:p w14:paraId="4F1689BD"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Cartão do CNPJ;</w:t>
            </w:r>
          </w:p>
          <w:p w14:paraId="2EAEEDF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Estatuto ou contrato social em vigor.</w:t>
            </w:r>
          </w:p>
          <w:p w14:paraId="07EC7341"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HABILITAÇÃO FISCAL, SOCIAL E TRABALHISTA (art. 68)</w:t>
            </w:r>
          </w:p>
          <w:p w14:paraId="150E398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Regularidade perante as Fazendas federal, estadual e municipal do domicílio ou sede do licitante;</w:t>
            </w:r>
          </w:p>
          <w:p w14:paraId="5DC13992"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Regularidade relativa à Seguridade Social e ao FGTS;</w:t>
            </w:r>
          </w:p>
          <w:p w14:paraId="58CA6DD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Regularidade perante a Justiça do Trabalho.</w:t>
            </w:r>
          </w:p>
          <w:p w14:paraId="68E53FE6"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QUALIFICAÇÃO TÉCNICA (art. 67)</w:t>
            </w:r>
          </w:p>
          <w:p w14:paraId="3DD1567D"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Registro ou inscrição da licitante no CREA e/ou CAU da região de sua sede, em plena validade, com indicação de responsável(is) técnico(s) e objeto social compatível;</w:t>
            </w:r>
          </w:p>
          <w:p w14:paraId="22EFBD86"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Registro do(s) responsável(is) técnico(s) no CREA e/ou CAU;</w:t>
            </w:r>
          </w:p>
          <w:p w14:paraId="6246756D"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 xml:space="preserve">c) </w:t>
            </w:r>
            <w:r w:rsidRPr="00A44935">
              <w:rPr>
                <w:rFonts w:ascii="Times New Roman" w:eastAsia="Times New Roman" w:hAnsi="Times New Roman"/>
                <w:b/>
                <w:bCs/>
              </w:rPr>
              <w:t>Capacidade técnico-operacional:</w:t>
            </w:r>
            <w:r w:rsidRPr="00A44935">
              <w:rPr>
                <w:rFonts w:ascii="Times New Roman" w:eastAsia="Times New Roman" w:hAnsi="Times New Roman"/>
              </w:rPr>
              <w:t xml:space="preserve"> atestado(s) em nome da licitante, emitido(s) por pessoa jurídica de direito público ou privado, comprovando a elaboração de projeto arquitetônico e de projetos complementares de engenharia de edificação com área igual ou superior a </w:t>
            </w:r>
            <w:r w:rsidRPr="00A44935">
              <w:rPr>
                <w:rFonts w:ascii="Times New Roman" w:eastAsia="Times New Roman" w:hAnsi="Times New Roman"/>
                <w:b/>
                <w:bCs/>
              </w:rPr>
              <w:t>250 m²</w:t>
            </w:r>
            <w:r w:rsidRPr="00A44935">
              <w:rPr>
                <w:rFonts w:ascii="Times New Roman" w:eastAsia="Times New Roman" w:hAnsi="Times New Roman"/>
              </w:rPr>
              <w:t xml:space="preserve"> (50% da área estimada, art. 67, § 2º), admitido o somatório de atestados;</w:t>
            </w:r>
          </w:p>
          <w:p w14:paraId="4413B5D5" w14:textId="20FBFB93" w:rsidR="005276D7" w:rsidRPr="00A44935" w:rsidRDefault="005276D7" w:rsidP="006F0EFA">
            <w:pPr>
              <w:spacing w:after="0" w:line="240" w:lineRule="auto"/>
              <w:ind w:left="426" w:hanging="284"/>
              <w:jc w:val="both"/>
              <w:rPr>
                <w:rFonts w:ascii="Times New Roman" w:hAnsi="Times New Roman"/>
              </w:rPr>
            </w:pPr>
            <w:r w:rsidRPr="00A44935">
              <w:rPr>
                <w:rFonts w:ascii="Times New Roman" w:eastAsia="Times New Roman" w:hAnsi="Times New Roman"/>
              </w:rPr>
              <w:t xml:space="preserve">d) </w:t>
            </w:r>
            <w:r w:rsidRPr="00A44935">
              <w:rPr>
                <w:rFonts w:ascii="Times New Roman" w:eastAsia="Times New Roman" w:hAnsi="Times New Roman"/>
                <w:b/>
                <w:bCs/>
              </w:rPr>
              <w:t>Capacidade técnico-profissional:</w:t>
            </w:r>
            <w:r w:rsidRPr="00A44935">
              <w:rPr>
                <w:rFonts w:ascii="Times New Roman" w:eastAsia="Times New Roman" w:hAnsi="Times New Roman"/>
              </w:rPr>
              <w:t xml:space="preserve"> Certidão de Acervo Técnico (CAT/CREA ou CAT-A/CAU), em nome de profissional de nível superior indicado pela licitante, comprovando responsabilidade técnica por (i) projeto arquitetônico de edificação e (ii) projeto estrutural de edificação, </w:t>
            </w:r>
            <w:r w:rsidR="006F0EFA" w:rsidRPr="00A44935">
              <w:rPr>
                <w:rFonts w:ascii="Times New Roman" w:eastAsia="Times New Roman" w:hAnsi="Times New Roman"/>
              </w:rPr>
              <w:t xml:space="preserve">com área igual ou superior a </w:t>
            </w:r>
            <w:r w:rsidR="006F0EFA" w:rsidRPr="00A44935">
              <w:rPr>
                <w:rFonts w:ascii="Times New Roman" w:eastAsia="Times New Roman" w:hAnsi="Times New Roman"/>
                <w:b/>
                <w:bCs/>
              </w:rPr>
              <w:t>250 m²</w:t>
            </w:r>
            <w:r w:rsidR="006F0EFA" w:rsidRPr="00A44935">
              <w:rPr>
                <w:rFonts w:ascii="Times New Roman" w:eastAsia="Times New Roman" w:hAnsi="Times New Roman"/>
              </w:rPr>
              <w:t xml:space="preserve"> (50% da área estimada, art. 67, § 2º), admitido o somatório de atestados</w:t>
            </w:r>
            <w:r w:rsidR="006F0EFA">
              <w:rPr>
                <w:rFonts w:ascii="Times New Roman" w:eastAsia="Times New Roman" w:hAnsi="Times New Roman"/>
              </w:rPr>
              <w:t>.</w:t>
            </w:r>
          </w:p>
          <w:p w14:paraId="4333810C"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Comprovação do vínculo dos profissionais indicados, por contrato de trabalho, ficha de empregado, contrato social, certidão do conselho ou contrato de prestação de serviços, exigível no momento da assinatura do contrato;</w:t>
            </w:r>
          </w:p>
          <w:p w14:paraId="29EA8CF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g) Declaração de indicação da equipe técnica, com profissionais habilitados para cada disciplina do escopo, a ser apresentada na assinatura do contrato.</w:t>
            </w:r>
          </w:p>
          <w:p w14:paraId="262DBC64"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Por ocasião da contratação, deverá ser apresentado visto do CREA-SC ou CAU-SC para empresas ou profissionais registrados em outra região.</w:t>
            </w:r>
          </w:p>
          <w:p w14:paraId="43A0FCB4"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lastRenderedPageBreak/>
              <w:t>MICROEMPRESA E EMPRESA DE PEQUENO PORTE</w:t>
            </w:r>
          </w:p>
          <w:p w14:paraId="59204E4E" w14:textId="169EEF54"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Certidão de enquadramento emitida pela Junta Comercial ou, para sociedades simples, pelo Registro Civil de Pessoas Jurídicas, para fruição dos benefícios da Lei Complementar nº 123/2006.</w:t>
            </w:r>
          </w:p>
        </w:tc>
      </w:tr>
      <w:tr w:rsidR="005276D7" w:rsidRPr="00A44935" w14:paraId="378A12E7" w14:textId="77777777" w:rsidTr="007022DD">
        <w:tc>
          <w:tcPr>
            <w:tcW w:w="822" w:type="dxa"/>
            <w:tcBorders>
              <w:top w:val="single" w:sz="4" w:space="0" w:color="000000"/>
              <w:left w:val="single" w:sz="4" w:space="0" w:color="000000"/>
              <w:bottom w:val="single" w:sz="4" w:space="0" w:color="000000"/>
              <w:right w:val="single" w:sz="4" w:space="0" w:color="000000"/>
            </w:tcBorders>
          </w:tcPr>
          <w:p w14:paraId="1C5BDC4F"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6.</w:t>
            </w:r>
          </w:p>
        </w:tc>
        <w:tc>
          <w:tcPr>
            <w:tcW w:w="9640" w:type="dxa"/>
            <w:tcBorders>
              <w:top w:val="single" w:sz="4" w:space="0" w:color="000000"/>
              <w:left w:val="single" w:sz="4" w:space="0" w:color="000000"/>
              <w:bottom w:val="single" w:sz="4" w:space="0" w:color="000000"/>
              <w:right w:val="single" w:sz="4" w:space="0" w:color="000000"/>
            </w:tcBorders>
          </w:tcPr>
          <w:p w14:paraId="0B1F7D99"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Modelo de execução do objeto.</w:t>
            </w:r>
          </w:p>
          <w:p w14:paraId="52220137"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execução ocorrerá por escopo, em etapas sucessivas, iniciando-se com a emissão da Ordem de Serviço, conforme o quadro abaixo:</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500"/>
              <w:gridCol w:w="4700"/>
              <w:gridCol w:w="1500"/>
              <w:gridCol w:w="1540"/>
            </w:tblGrid>
            <w:tr w:rsidR="005276D7" w:rsidRPr="00A44935" w14:paraId="1A9ABBB3" w14:textId="77777777" w:rsidTr="007022DD">
              <w:trPr>
                <w:tblHeader/>
              </w:trPr>
              <w:tc>
                <w:tcPr>
                  <w:tcW w:w="1500" w:type="dxa"/>
                  <w:shd w:val="clear" w:color="auto" w:fill="D9D9D9"/>
                  <w:vAlign w:val="center"/>
                </w:tcPr>
                <w:p w14:paraId="7D958261"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Etapa</w:t>
                  </w:r>
                </w:p>
              </w:tc>
              <w:tc>
                <w:tcPr>
                  <w:tcW w:w="4700" w:type="dxa"/>
                  <w:shd w:val="clear" w:color="auto" w:fill="D9D9D9"/>
                  <w:vAlign w:val="center"/>
                </w:tcPr>
                <w:p w14:paraId="6BB7B68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Produtos</w:t>
                  </w:r>
                </w:p>
              </w:tc>
              <w:tc>
                <w:tcPr>
                  <w:tcW w:w="1500" w:type="dxa"/>
                  <w:shd w:val="clear" w:color="auto" w:fill="D9D9D9"/>
                  <w:vAlign w:val="center"/>
                </w:tcPr>
                <w:p w14:paraId="01E32E0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Prazo máximo (dias corridos da OS)</w:t>
                  </w:r>
                </w:p>
              </w:tc>
              <w:tc>
                <w:tcPr>
                  <w:tcW w:w="1540" w:type="dxa"/>
                  <w:shd w:val="clear" w:color="auto" w:fill="D9D9D9"/>
                  <w:vAlign w:val="center"/>
                </w:tcPr>
                <w:p w14:paraId="036A285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Medição (% do valor contratual)</w:t>
                  </w:r>
                </w:p>
              </w:tc>
            </w:tr>
            <w:tr w:rsidR="005276D7" w:rsidRPr="00A44935" w14:paraId="6DDB8EC8" w14:textId="77777777" w:rsidTr="007022DD">
              <w:tc>
                <w:tcPr>
                  <w:tcW w:w="1500" w:type="dxa"/>
                  <w:vAlign w:val="center"/>
                </w:tcPr>
                <w:p w14:paraId="3D1F729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Etapa 1 – Levantamentos e estudo preliminar</w:t>
                  </w:r>
                </w:p>
              </w:tc>
              <w:tc>
                <w:tcPr>
                  <w:tcW w:w="4700" w:type="dxa"/>
                  <w:vAlign w:val="center"/>
                </w:tcPr>
                <w:p w14:paraId="7A7B309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Levantamento topográfico; laudo de sondagem SPT; ata de consolidação do programa de necessidades; estudo preliminar arquitetônico com implantação geral (edificação, estacionamento, Viveiro e acesso rodoviário)</w:t>
                  </w:r>
                </w:p>
              </w:tc>
              <w:tc>
                <w:tcPr>
                  <w:tcW w:w="1500" w:type="dxa"/>
                  <w:vAlign w:val="center"/>
                </w:tcPr>
                <w:p w14:paraId="63047922"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30</w:t>
                  </w:r>
                </w:p>
              </w:tc>
              <w:tc>
                <w:tcPr>
                  <w:tcW w:w="1540" w:type="dxa"/>
                  <w:vAlign w:val="center"/>
                </w:tcPr>
                <w:p w14:paraId="3DA7EA7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20%</w:t>
                  </w:r>
                </w:p>
              </w:tc>
            </w:tr>
            <w:tr w:rsidR="005276D7" w:rsidRPr="00A44935" w14:paraId="7062C307" w14:textId="77777777" w:rsidTr="007022DD">
              <w:tc>
                <w:tcPr>
                  <w:tcW w:w="1500" w:type="dxa"/>
                  <w:vAlign w:val="center"/>
                </w:tcPr>
                <w:p w14:paraId="1B01728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Etapa 2 – Projeto legal e projeto básico</w:t>
                  </w:r>
                </w:p>
              </w:tc>
              <w:tc>
                <w:tcPr>
                  <w:tcW w:w="4700" w:type="dxa"/>
                  <w:vAlign w:val="center"/>
                </w:tcPr>
                <w:p w14:paraId="2193D08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Anteprojeto e projeto legal arquitetônico; projetos básicos de todas as disciplinas; PPCI protocolado no CBMSC; documentação para autorização do acesso rodoviário; estimativa preliminar de custo</w:t>
                  </w:r>
                </w:p>
              </w:tc>
              <w:tc>
                <w:tcPr>
                  <w:tcW w:w="1500" w:type="dxa"/>
                  <w:vAlign w:val="center"/>
                </w:tcPr>
                <w:p w14:paraId="3EB4A8CF"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30</w:t>
                  </w:r>
                </w:p>
              </w:tc>
              <w:tc>
                <w:tcPr>
                  <w:tcW w:w="1540" w:type="dxa"/>
                  <w:vAlign w:val="center"/>
                </w:tcPr>
                <w:p w14:paraId="33BCE325"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30%</w:t>
                  </w:r>
                </w:p>
              </w:tc>
            </w:tr>
            <w:tr w:rsidR="005276D7" w:rsidRPr="00A44935" w14:paraId="38450065" w14:textId="77777777" w:rsidTr="007022DD">
              <w:tc>
                <w:tcPr>
                  <w:tcW w:w="1500" w:type="dxa"/>
                  <w:vAlign w:val="center"/>
                </w:tcPr>
                <w:p w14:paraId="17E0D36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Etapa 3 – Projeto executivo e orçamento</w:t>
                  </w:r>
                </w:p>
              </w:tc>
              <w:tc>
                <w:tcPr>
                  <w:tcW w:w="4700" w:type="dxa"/>
                  <w:vAlign w:val="center"/>
                </w:tcPr>
                <w:p w14:paraId="271B4454"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Projetos executivos de todas as disciplinas compatibilizados; memoriais e especificações; quantitativos; planilha orçamentária com e sem BDI; composições; curva ABC; cronograma físico-financeiro; perspectivas; ARTs/RRTs</w:t>
                  </w:r>
                </w:p>
              </w:tc>
              <w:tc>
                <w:tcPr>
                  <w:tcW w:w="1500" w:type="dxa"/>
                  <w:vAlign w:val="center"/>
                </w:tcPr>
                <w:p w14:paraId="5C19148B"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30</w:t>
                  </w:r>
                </w:p>
              </w:tc>
              <w:tc>
                <w:tcPr>
                  <w:tcW w:w="1540" w:type="dxa"/>
                  <w:vAlign w:val="center"/>
                </w:tcPr>
                <w:p w14:paraId="49360405"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0,00%</w:t>
                  </w:r>
                </w:p>
              </w:tc>
            </w:tr>
            <w:tr w:rsidR="005276D7" w:rsidRPr="00A44935" w14:paraId="0CCCB719" w14:textId="77777777" w:rsidTr="007022DD">
              <w:tc>
                <w:tcPr>
                  <w:tcW w:w="1500" w:type="dxa"/>
                  <w:vAlign w:val="center"/>
                </w:tcPr>
                <w:p w14:paraId="4A2CEE98"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Aprovações e recebimento definitivo</w:t>
                  </w:r>
                </w:p>
              </w:tc>
              <w:tc>
                <w:tcPr>
                  <w:tcW w:w="4700" w:type="dxa"/>
                  <w:vAlign w:val="center"/>
                </w:tcPr>
                <w:p w14:paraId="38CA172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Projeto aprovado pelo Município e PPCI aprovado pelo CBMSC; atendimento às exigências dos demais órgãos; correções finais</w:t>
                  </w:r>
                </w:p>
              </w:tc>
              <w:tc>
                <w:tcPr>
                  <w:tcW w:w="1500" w:type="dxa"/>
                  <w:vAlign w:val="center"/>
                </w:tcPr>
                <w:p w14:paraId="3BE64BFE"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30</w:t>
                  </w:r>
                </w:p>
              </w:tc>
              <w:tc>
                <w:tcPr>
                  <w:tcW w:w="1540" w:type="dxa"/>
                  <w:vAlign w:val="center"/>
                </w:tcPr>
                <w:p w14:paraId="0CFE248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50%</w:t>
                  </w:r>
                </w:p>
              </w:tc>
            </w:tr>
          </w:tbl>
          <w:p w14:paraId="24990251" w14:textId="77777777" w:rsidR="005276D7" w:rsidRPr="00A44935" w:rsidRDefault="005276D7" w:rsidP="00A44935">
            <w:pPr>
              <w:spacing w:after="0" w:line="240" w:lineRule="auto"/>
              <w:jc w:val="both"/>
              <w:rPr>
                <w:rFonts w:ascii="Times New Roman" w:hAnsi="Times New Roman"/>
              </w:rPr>
            </w:pPr>
          </w:p>
          <w:p w14:paraId="1CFA94CD"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Cada etapa somente será iniciada após a validação, pela fiscalização, dos produtos da etapa anterior. A Administração terá até 10 (dez) dias úteis para analisar cada entrega, e a contratada, até 10 (dez) dias úteis para promover as correções solicitadas, sem ônus adicional.</w:t>
            </w:r>
          </w:p>
          <w:p w14:paraId="542B38DD"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Deverão ser realizadas, no mínimo, 03 (três) reuniões técnicas registradas em ata (início, validação do estudo preliminar e validação do projeto básico), presenciais ou por videoconferência previamente autorizada.</w:t>
            </w:r>
          </w:p>
          <w:p w14:paraId="19315F90"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Forma de apresentação dos documentos</w:t>
            </w:r>
          </w:p>
          <w:p w14:paraId="162BD2A9"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arquivos digitais editáveis (DWG ou IFC para desenhos; XLSX para planilhas; DOCX para memoriais);</w:t>
            </w:r>
          </w:p>
          <w:p w14:paraId="2A3D4B7A"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arquivos em PDF assinados digitalmente pelos responsáveis técnicos;</w:t>
            </w:r>
          </w:p>
          <w:p w14:paraId="0C855600"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pranchas em formatos padronizados da ABNT, com carimbo contendo identificação do empreendimento, disciplina, responsável técnico, registro profissional, escala, data e revisão;</w:t>
            </w:r>
          </w:p>
          <w:p w14:paraId="7240E6D5"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ARTs e/ou RRTs de todas as disciplinas, devidamente quitadas;</w:t>
            </w:r>
          </w:p>
          <w:p w14:paraId="3EE4795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02 (duas) vias impressas do conjunto final, se solicitadas pela Administração.</w:t>
            </w:r>
          </w:p>
          <w:p w14:paraId="3952C631" w14:textId="24C7D446"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Os arquivos deverão ser organizados por disciplina e identificados de forma padronizada, permitindo rastreabilidade, conferência e arquivamento. A comunicação entre as partes dar-se-á preferencialmente por correio eletrônico institucional ou outro meio formal definido pela Administração.</w:t>
            </w:r>
          </w:p>
        </w:tc>
      </w:tr>
      <w:tr w:rsidR="005276D7" w:rsidRPr="00A44935" w14:paraId="492BFD33" w14:textId="77777777" w:rsidTr="007022DD">
        <w:tc>
          <w:tcPr>
            <w:tcW w:w="822" w:type="dxa"/>
            <w:tcBorders>
              <w:top w:val="single" w:sz="4" w:space="0" w:color="000000"/>
              <w:left w:val="single" w:sz="4" w:space="0" w:color="000000"/>
              <w:bottom w:val="single" w:sz="4" w:space="0" w:color="000000"/>
              <w:right w:val="single" w:sz="4" w:space="0" w:color="000000"/>
            </w:tcBorders>
          </w:tcPr>
          <w:p w14:paraId="4703FE3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7.</w:t>
            </w:r>
          </w:p>
        </w:tc>
        <w:tc>
          <w:tcPr>
            <w:tcW w:w="9640" w:type="dxa"/>
            <w:tcBorders>
              <w:top w:val="single" w:sz="4" w:space="0" w:color="000000"/>
              <w:left w:val="single" w:sz="4" w:space="0" w:color="000000"/>
              <w:bottom w:val="single" w:sz="4" w:space="0" w:color="000000"/>
              <w:right w:val="single" w:sz="4" w:space="0" w:color="000000"/>
            </w:tcBorders>
          </w:tcPr>
          <w:p w14:paraId="7F3D2739"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Modelo de gestão do objeto e do contrato.</w:t>
            </w:r>
          </w:p>
          <w:p w14:paraId="6816B755" w14:textId="69D9F1D4"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 xml:space="preserve">Designa-se como gestora do contrato a Secretária Municipal de Agricultura e Meio Ambiente, </w:t>
            </w:r>
            <w:r w:rsidRPr="008E461A">
              <w:rPr>
                <w:rFonts w:ascii="Times New Roman" w:eastAsia="Times New Roman" w:hAnsi="Times New Roman"/>
              </w:rPr>
              <w:t xml:space="preserve">Sra. </w:t>
            </w:r>
            <w:r w:rsidR="008E461A">
              <w:rPr>
                <w:rFonts w:ascii="Times New Roman" w:eastAsia="Times New Roman" w:hAnsi="Times New Roman"/>
              </w:rPr>
              <w:t>Angélica Chini</w:t>
            </w:r>
            <w:r w:rsidRPr="00A44935">
              <w:rPr>
                <w:rFonts w:ascii="Times New Roman" w:eastAsia="Times New Roman" w:hAnsi="Times New Roman"/>
              </w:rPr>
              <w:t xml:space="preserve">, e, como fiscal, </w:t>
            </w:r>
            <w:r w:rsidR="003E333A">
              <w:rPr>
                <w:rFonts w:ascii="Times New Roman" w:eastAsia="Times New Roman" w:hAnsi="Times New Roman"/>
              </w:rPr>
              <w:t xml:space="preserve">o Engenheiro Civil </w:t>
            </w:r>
            <w:r w:rsidR="003E333A" w:rsidRPr="003E333A">
              <w:rPr>
                <w:rFonts w:ascii="Times New Roman" w:eastAsia="Times New Roman" w:hAnsi="Times New Roman"/>
              </w:rPr>
              <w:t>Ronaldo Backes</w:t>
            </w:r>
            <w:r w:rsidR="003E333A">
              <w:rPr>
                <w:rFonts w:ascii="Times New Roman" w:eastAsia="Times New Roman" w:hAnsi="Times New Roman"/>
              </w:rPr>
              <w:t xml:space="preserve">, inscrito no </w:t>
            </w:r>
            <w:r w:rsidR="003E333A" w:rsidRPr="003E333A">
              <w:rPr>
                <w:rFonts w:ascii="Times New Roman" w:eastAsia="Times New Roman" w:hAnsi="Times New Roman"/>
              </w:rPr>
              <w:t xml:space="preserve">Crea/SC </w:t>
            </w:r>
            <w:r w:rsidR="003E333A">
              <w:rPr>
                <w:rFonts w:ascii="Times New Roman" w:eastAsia="Times New Roman" w:hAnsi="Times New Roman"/>
              </w:rPr>
              <w:t xml:space="preserve">nº </w:t>
            </w:r>
            <w:r w:rsidR="003E333A" w:rsidRPr="003E333A">
              <w:rPr>
                <w:rFonts w:ascii="Times New Roman" w:eastAsia="Times New Roman" w:hAnsi="Times New Roman"/>
              </w:rPr>
              <w:t>174610-2</w:t>
            </w:r>
            <w:r w:rsidRPr="00A44935">
              <w:rPr>
                <w:rFonts w:ascii="Times New Roman" w:eastAsia="Times New Roman" w:hAnsi="Times New Roman"/>
              </w:rPr>
              <w:t>, nos termos do art. 117 da Lei nº 14.133/2021.</w:t>
            </w:r>
          </w:p>
          <w:p w14:paraId="4A841B02"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São atribuições do gestor, nos termos do Decreto Municipal nº 032/2023:</w:t>
            </w:r>
          </w:p>
          <w:p w14:paraId="490D017B"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 – conferir a existência de empenho prévio à realização da despesa;</w:t>
            </w:r>
          </w:p>
          <w:p w14:paraId="12FE98CA"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II – conferir se houve publicação tempestiva do extrato do contrato;</w:t>
            </w:r>
          </w:p>
          <w:p w14:paraId="4C382D56"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III – conferir a existência de designação de fiscal para cada contrato celebrado pela Administração e da indicação formal de preposto pelo contratado;</w:t>
            </w:r>
          </w:p>
          <w:p w14:paraId="22301FAD"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lastRenderedPageBreak/>
              <w:t>IV – controlar os prazos de vencimentos dos contratos, sugerindo à autoridade superior o aditamento do ajuste ou a abertura de nova licitação, após a oitiva do fiscal, com antecedência mínima de 10 (dez) dias úteis do término da vigência;</w:t>
            </w:r>
          </w:p>
          <w:p w14:paraId="2B3BE4C0"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 – controlar os limites de acréscimo e de supressão, em conformidade com a legislação;</w:t>
            </w:r>
          </w:p>
          <w:p w14:paraId="33C3565E"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 – adotar as providências para a confecção tempestiva dos termos aditivos, quando for o caso;</w:t>
            </w:r>
          </w:p>
          <w:p w14:paraId="67D52BF6"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VII – receber ou formular os pedidos de reequilíbrio econômico-financeiro, encaminhando-os para análise e submetendo-os à autoridade superior;</w:t>
            </w:r>
          </w:p>
          <w:p w14:paraId="78047812"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VIII – verificar a validade da garantia prestada, quando exigida;</w:t>
            </w:r>
          </w:p>
          <w:p w14:paraId="5E7F4678"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IX – deliberar sobre o pedido de substituição do responsável técnico, desde que este detenha experiência e qualificação equivalente ou superior ao substituído;</w:t>
            </w:r>
          </w:p>
          <w:p w14:paraId="53BF5437"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 – examinar, ao menos uma vez antes do término da vigência, a regularidade fiscal, trabalhista e previdenciária do contratado, notificando-o em caso de irregularidade;</w:t>
            </w:r>
          </w:p>
          <w:p w14:paraId="6E0EAE06"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XI – manifestar-se sobre eventual pedido de subcontratação;</w:t>
            </w:r>
          </w:p>
          <w:p w14:paraId="44371989"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XII – supervisionar o fiscal na realização das atividades necessárias à liquidação da despesa, visando à observância da ordem cronológica de pagamentos;</w:t>
            </w:r>
          </w:p>
          <w:p w14:paraId="10DB7244"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XIII – executar outras atividades determinadas pelo superior hierárquico.</w:t>
            </w:r>
          </w:p>
          <w:p w14:paraId="4DBB57D8"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São atribuições do fiscal, nos termos do Decreto Municipal nº 032/2023:</w:t>
            </w:r>
          </w:p>
          <w:p w14:paraId="2725DBB4"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 – solicitar a autuação do processo de fiscalização em, no máximo, 02 (dois) dias úteis após a assinatura do contrato;</w:t>
            </w:r>
          </w:p>
          <w:p w14:paraId="726A40E2"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II – conhecer os termos do processo de contratação e as condições do contrato, em especial os prazos, os cronogramas e as obrigações das partes;</w:t>
            </w:r>
          </w:p>
          <w:p w14:paraId="71481CA7"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III – acompanhar e fiscalizar a execução do serviço, em estrita observância ao edital e ao contrato;</w:t>
            </w:r>
          </w:p>
          <w:p w14:paraId="76802AED"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IV – juntar documentos, redigir atas de reunião e registrar as comunicações relativas à execução do contrato;</w:t>
            </w:r>
          </w:p>
          <w:p w14:paraId="2DFBB478"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 – registrar todas as ocorrências durante a execução, notificando o contratado, por escrito, para sanar os problemas em prazo hábil;</w:t>
            </w:r>
          </w:p>
          <w:p w14:paraId="2C472880"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 – relatar por escrito e sugerir à autoridade superior a aplicação de sanções, garantindo ao contratado o direito de defesa;</w:t>
            </w:r>
          </w:p>
          <w:p w14:paraId="40E98639"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VII – solicitar à autoridade superior a contratação de terceiro para auxiliá-lo, caso necessário;</w:t>
            </w:r>
          </w:p>
          <w:p w14:paraId="59CF1CBC"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VIII – conferir a conclusão das etapas e o cumprimento das condições de pagamento;</w:t>
            </w:r>
          </w:p>
          <w:p w14:paraId="798E44F1"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IX – dar recebimento provisório mediante termo circunstanciado;</w:t>
            </w:r>
          </w:p>
          <w:p w14:paraId="61F7B9ED"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 – dar recebimento definitivo mediante termo circunstanciado, se houver autorização expressa do Prefeito ou de outro superior hierárquico;</w:t>
            </w:r>
          </w:p>
          <w:p w14:paraId="77A493FC" w14:textId="77777777" w:rsidR="005276D7" w:rsidRPr="00A44935" w:rsidRDefault="005276D7" w:rsidP="00A44935">
            <w:pPr>
              <w:spacing w:after="0" w:line="240" w:lineRule="auto"/>
              <w:ind w:left="284"/>
              <w:jc w:val="both"/>
              <w:rPr>
                <w:rFonts w:ascii="Times New Roman" w:hAnsi="Times New Roman"/>
              </w:rPr>
            </w:pPr>
            <w:r w:rsidRPr="00A44935">
              <w:rPr>
                <w:rFonts w:ascii="Times New Roman" w:eastAsia="Times New Roman" w:hAnsi="Times New Roman"/>
              </w:rPr>
              <w:t>XI – executar outras atividades determinadas pelo superior hierárquico.</w:t>
            </w:r>
          </w:p>
          <w:p w14:paraId="1F70E5C8" w14:textId="21273F06"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Produtos inadequados ou que não atendam às exigências não serão aceitos, ficando suspenso o pagamento da respectiva etapa até sua regularização integral.</w:t>
            </w:r>
          </w:p>
        </w:tc>
      </w:tr>
      <w:tr w:rsidR="005276D7" w:rsidRPr="00A44935" w14:paraId="362282D3" w14:textId="77777777" w:rsidTr="007022DD">
        <w:tc>
          <w:tcPr>
            <w:tcW w:w="822" w:type="dxa"/>
            <w:tcBorders>
              <w:top w:val="single" w:sz="4" w:space="0" w:color="000000"/>
              <w:left w:val="single" w:sz="4" w:space="0" w:color="000000"/>
              <w:bottom w:val="single" w:sz="4" w:space="0" w:color="000000"/>
              <w:right w:val="single" w:sz="4" w:space="0" w:color="000000"/>
            </w:tcBorders>
          </w:tcPr>
          <w:p w14:paraId="379D7BA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8.</w:t>
            </w:r>
          </w:p>
        </w:tc>
        <w:tc>
          <w:tcPr>
            <w:tcW w:w="9640" w:type="dxa"/>
            <w:tcBorders>
              <w:top w:val="single" w:sz="4" w:space="0" w:color="000000"/>
              <w:left w:val="single" w:sz="4" w:space="0" w:color="000000"/>
              <w:bottom w:val="single" w:sz="4" w:space="0" w:color="000000"/>
              <w:right w:val="single" w:sz="4" w:space="0" w:color="000000"/>
            </w:tcBorders>
          </w:tcPr>
          <w:p w14:paraId="2F9E4FC6"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Critérios de medição e de pagamento.</w:t>
            </w:r>
          </w:p>
          <w:p w14:paraId="6767340C"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medição será realizada por etapa concluída e recebida, conforme os percentuais do quadro do item 6. O pagamento será efetuado em até 30 (trinta) dias após o atesto da Nota Fiscal Eletrônica correspondente pelo fiscal, observada a ordem cronológica de pagamentos para cada fonte diferenciada de recursos (art. 141 da Lei nº 14.133/2021), mediante transferência para a conta corrente da contratada.</w:t>
            </w:r>
          </w:p>
          <w:p w14:paraId="4B708170" w14:textId="79A99F7E"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Não será admitido pagamento antecipado. Na opção por transferência a instituição financeira diversa daquela em que estiver depositado o recurso público, as tarifas correrão por conta da contratada. Qualquer pagamento somente será realizado estando a contratada em situação regular, cabendo à Administração proceder às retenções tributárias legalmente previstas.</w:t>
            </w:r>
          </w:p>
        </w:tc>
      </w:tr>
      <w:tr w:rsidR="005276D7" w:rsidRPr="00A44935" w14:paraId="39510519" w14:textId="77777777" w:rsidTr="007022DD">
        <w:tc>
          <w:tcPr>
            <w:tcW w:w="822" w:type="dxa"/>
            <w:tcBorders>
              <w:top w:val="single" w:sz="4" w:space="0" w:color="000000"/>
              <w:left w:val="single" w:sz="4" w:space="0" w:color="000000"/>
              <w:bottom w:val="single" w:sz="4" w:space="0" w:color="000000"/>
              <w:right w:val="single" w:sz="4" w:space="0" w:color="000000"/>
            </w:tcBorders>
          </w:tcPr>
          <w:p w14:paraId="6501AA06"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9.</w:t>
            </w:r>
          </w:p>
        </w:tc>
        <w:tc>
          <w:tcPr>
            <w:tcW w:w="9640" w:type="dxa"/>
            <w:tcBorders>
              <w:top w:val="single" w:sz="4" w:space="0" w:color="000000"/>
              <w:left w:val="single" w:sz="4" w:space="0" w:color="000000"/>
              <w:bottom w:val="single" w:sz="4" w:space="0" w:color="000000"/>
              <w:right w:val="single" w:sz="4" w:space="0" w:color="000000"/>
            </w:tcBorders>
          </w:tcPr>
          <w:p w14:paraId="0BE48C10"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Forma e critérios de seleção do fornecedor.</w:t>
            </w:r>
          </w:p>
          <w:p w14:paraId="59DDFA28"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 xml:space="preserve">A seleção do fornecedor será realizada por licitação na modalidade </w:t>
            </w:r>
            <w:r w:rsidRPr="00A44935">
              <w:rPr>
                <w:rFonts w:ascii="Times New Roman" w:eastAsia="Times New Roman" w:hAnsi="Times New Roman"/>
                <w:b/>
                <w:bCs/>
              </w:rPr>
              <w:t>Concorrência</w:t>
            </w:r>
            <w:r w:rsidRPr="00A44935">
              <w:rPr>
                <w:rFonts w:ascii="Times New Roman" w:eastAsia="Times New Roman" w:hAnsi="Times New Roman"/>
              </w:rPr>
              <w:t xml:space="preserve">, na forma </w:t>
            </w:r>
            <w:r w:rsidRPr="00A44935">
              <w:rPr>
                <w:rFonts w:ascii="Times New Roman" w:eastAsia="Times New Roman" w:hAnsi="Times New Roman"/>
                <w:b/>
                <w:bCs/>
              </w:rPr>
              <w:t>eletrônica</w:t>
            </w:r>
            <w:r w:rsidRPr="00A44935">
              <w:rPr>
                <w:rFonts w:ascii="Times New Roman" w:eastAsia="Times New Roman" w:hAnsi="Times New Roman"/>
              </w:rPr>
              <w:t xml:space="preserve">, com critério de julgamento de </w:t>
            </w:r>
            <w:r w:rsidRPr="00A44935">
              <w:rPr>
                <w:rFonts w:ascii="Times New Roman" w:eastAsia="Times New Roman" w:hAnsi="Times New Roman"/>
                <w:b/>
                <w:bCs/>
              </w:rPr>
              <w:t>menor preço global</w:t>
            </w:r>
            <w:r w:rsidRPr="00A44935">
              <w:rPr>
                <w:rFonts w:ascii="Times New Roman" w:eastAsia="Times New Roman" w:hAnsi="Times New Roman"/>
              </w:rPr>
              <w:t xml:space="preserve"> e modo de disputa aberto.</w:t>
            </w:r>
          </w:p>
          <w:p w14:paraId="33D2C126"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Adota-se a concorrência porque o objeto constitui serviço técnico especializado de natureza predominantemente intelectual, ao qual não se aplica o pregão (art. 29, parágrafo único, da Lei nº 14.133/2021).</w:t>
            </w:r>
          </w:p>
          <w:p w14:paraId="79833339" w14:textId="7B58AE90"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 xml:space="preserve">Adota-se o critério de menor preço, e não o de técnica e preço, porque o valor estimado é inferior ao limite previsto no art. 37, § 2º, da Lei nº 14.133/2021 (atualizado na forma do art. 182) e porque o escopo, os produtos, as normas aplicáveis e os padrões mínimos de qualidade estão objetivamente definidos neste </w:t>
            </w:r>
            <w:r w:rsidRPr="00A44935">
              <w:rPr>
                <w:rFonts w:ascii="Times New Roman" w:eastAsia="Times New Roman" w:hAnsi="Times New Roman"/>
              </w:rPr>
              <w:lastRenderedPageBreak/>
              <w:t>Termo de Referência, sendo a qualidade técnica assegurada pelas exigências de qualificação, pela validação por etapas e pelo recebimento condicionado às aprovações dos órgãos competentes.</w:t>
            </w:r>
          </w:p>
        </w:tc>
      </w:tr>
      <w:tr w:rsidR="005276D7" w:rsidRPr="00A44935" w14:paraId="0AFAC48E" w14:textId="77777777" w:rsidTr="007022DD">
        <w:tc>
          <w:tcPr>
            <w:tcW w:w="822" w:type="dxa"/>
            <w:tcBorders>
              <w:top w:val="single" w:sz="4" w:space="0" w:color="000000"/>
              <w:left w:val="single" w:sz="4" w:space="0" w:color="000000"/>
              <w:bottom w:val="single" w:sz="4" w:space="0" w:color="000000"/>
              <w:right w:val="single" w:sz="4" w:space="0" w:color="000000"/>
            </w:tcBorders>
          </w:tcPr>
          <w:p w14:paraId="743D5F6E"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10.</w:t>
            </w:r>
          </w:p>
        </w:tc>
        <w:tc>
          <w:tcPr>
            <w:tcW w:w="9640" w:type="dxa"/>
            <w:tcBorders>
              <w:top w:val="single" w:sz="4" w:space="0" w:color="000000"/>
              <w:left w:val="single" w:sz="4" w:space="0" w:color="000000"/>
              <w:bottom w:val="single" w:sz="4" w:space="0" w:color="000000"/>
              <w:right w:val="single" w:sz="4" w:space="0" w:color="000000"/>
            </w:tcBorders>
          </w:tcPr>
          <w:p w14:paraId="7182E682"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Estimativa do valor da contratação.</w:t>
            </w:r>
          </w:p>
          <w:p w14:paraId="45D20AA1"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estimativa foi elaborada com fundamento no art. 23, § 2º, III, da Lei nº 14.133/2021, com base em contratações similares de outros entes públicos, adotando-se a mediana dos preços obtidos por metro quadrado de área projetada:</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900"/>
              <w:gridCol w:w="3300"/>
              <w:gridCol w:w="1100"/>
              <w:gridCol w:w="1940"/>
            </w:tblGrid>
            <w:tr w:rsidR="005276D7" w:rsidRPr="00A44935" w14:paraId="23847DB7" w14:textId="77777777" w:rsidTr="007022DD">
              <w:trPr>
                <w:tblHeader/>
              </w:trPr>
              <w:tc>
                <w:tcPr>
                  <w:tcW w:w="2900" w:type="dxa"/>
                  <w:shd w:val="clear" w:color="auto" w:fill="D9D9D9"/>
                  <w:vAlign w:val="center"/>
                </w:tcPr>
                <w:p w14:paraId="25EE90A4"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Fonte</w:t>
                  </w:r>
                </w:p>
              </w:tc>
              <w:tc>
                <w:tcPr>
                  <w:tcW w:w="3300" w:type="dxa"/>
                  <w:shd w:val="clear" w:color="auto" w:fill="D9D9D9"/>
                  <w:vAlign w:val="center"/>
                </w:tcPr>
                <w:p w14:paraId="4C2FA85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Objeto de referência</w:t>
                  </w:r>
                </w:p>
              </w:tc>
              <w:tc>
                <w:tcPr>
                  <w:tcW w:w="1100" w:type="dxa"/>
                  <w:shd w:val="clear" w:color="auto" w:fill="D9D9D9"/>
                  <w:vAlign w:val="center"/>
                </w:tcPr>
                <w:p w14:paraId="5B5AC7E2"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Unidade</w:t>
                  </w:r>
                </w:p>
              </w:tc>
              <w:tc>
                <w:tcPr>
                  <w:tcW w:w="1940" w:type="dxa"/>
                  <w:shd w:val="clear" w:color="auto" w:fill="D9D9D9"/>
                  <w:vAlign w:val="center"/>
                </w:tcPr>
                <w:p w14:paraId="44B3099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Valor (R$/m²)</w:t>
                  </w:r>
                </w:p>
              </w:tc>
            </w:tr>
            <w:tr w:rsidR="005276D7" w:rsidRPr="00A44935" w14:paraId="311DEF9B" w14:textId="77777777" w:rsidTr="007022DD">
              <w:tc>
                <w:tcPr>
                  <w:tcW w:w="2900" w:type="dxa"/>
                  <w:vAlign w:val="center"/>
                </w:tcPr>
                <w:p w14:paraId="2CD7995E"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PNCP – Município de Balneário Rincão/SC, Concorrência Eletrônica (17243084000197-1-000087/2026), item 2, homologada em 10/09/2026</w:t>
                  </w:r>
                </w:p>
              </w:tc>
              <w:tc>
                <w:tcPr>
                  <w:tcW w:w="3300" w:type="dxa"/>
                  <w:vAlign w:val="center"/>
                </w:tcPr>
                <w:p w14:paraId="6623745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Projeto arquitetônico e projetos complementares do CREAS (525 m²)</w:t>
                  </w:r>
                </w:p>
              </w:tc>
              <w:tc>
                <w:tcPr>
                  <w:tcW w:w="1100" w:type="dxa"/>
                  <w:vAlign w:val="center"/>
                </w:tcPr>
                <w:p w14:paraId="79338C4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m²</w:t>
                  </w:r>
                </w:p>
              </w:tc>
              <w:tc>
                <w:tcPr>
                  <w:tcW w:w="1940" w:type="dxa"/>
                  <w:vAlign w:val="center"/>
                </w:tcPr>
                <w:p w14:paraId="4999ECC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34,50</w:t>
                  </w:r>
                </w:p>
              </w:tc>
            </w:tr>
            <w:tr w:rsidR="005276D7" w:rsidRPr="00A44935" w14:paraId="2962DB67" w14:textId="77777777" w:rsidTr="007022DD">
              <w:tc>
                <w:tcPr>
                  <w:tcW w:w="2900" w:type="dxa"/>
                  <w:vAlign w:val="center"/>
                </w:tcPr>
                <w:p w14:paraId="647DC833"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PNCP – Município de Balneário Rincão/SC, Concorrência Eletrônica (17243084000197-1-000087/2026), item 1, homologada em 10/09/2026</w:t>
                  </w:r>
                </w:p>
              </w:tc>
              <w:tc>
                <w:tcPr>
                  <w:tcW w:w="3300" w:type="dxa"/>
                  <w:vAlign w:val="center"/>
                </w:tcPr>
                <w:p w14:paraId="487643E3"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Projetos complementares de engenharia da Delegacia (471,66 m²)</w:t>
                  </w:r>
                </w:p>
              </w:tc>
              <w:tc>
                <w:tcPr>
                  <w:tcW w:w="1100" w:type="dxa"/>
                  <w:vAlign w:val="center"/>
                </w:tcPr>
                <w:p w14:paraId="7C1742D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m²</w:t>
                  </w:r>
                </w:p>
              </w:tc>
              <w:tc>
                <w:tcPr>
                  <w:tcW w:w="1940" w:type="dxa"/>
                  <w:vAlign w:val="center"/>
                </w:tcPr>
                <w:p w14:paraId="236D0B9A"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20,00</w:t>
                  </w:r>
                </w:p>
              </w:tc>
            </w:tr>
            <w:tr w:rsidR="005276D7" w:rsidRPr="00A44935" w14:paraId="30C624CB" w14:textId="77777777" w:rsidTr="007022DD">
              <w:tc>
                <w:tcPr>
                  <w:tcW w:w="2900" w:type="dxa"/>
                  <w:vAlign w:val="center"/>
                </w:tcPr>
                <w:p w14:paraId="5087CAB2"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Município de Guamiranga/PR – Inexigibilidade (adesão à ARP nº 25/2026), de 31/07/2026</w:t>
                  </w:r>
                </w:p>
              </w:tc>
              <w:tc>
                <w:tcPr>
                  <w:tcW w:w="3300" w:type="dxa"/>
                  <w:vAlign w:val="center"/>
                </w:tcPr>
                <w:p w14:paraId="0477E50F"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rPr>
                    <w:t>Serviços de engenharia, incluindo elaboração de projetos executivos</w:t>
                  </w:r>
                </w:p>
              </w:tc>
              <w:tc>
                <w:tcPr>
                  <w:tcW w:w="1100" w:type="dxa"/>
                  <w:vAlign w:val="center"/>
                </w:tcPr>
                <w:p w14:paraId="069B347D"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w:t>
                  </w:r>
                </w:p>
              </w:tc>
              <w:tc>
                <w:tcPr>
                  <w:tcW w:w="1940" w:type="dxa"/>
                  <w:vAlign w:val="center"/>
                </w:tcPr>
                <w:p w14:paraId="0B395031"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rPr>
                    <w:t>55,00</w:t>
                  </w:r>
                </w:p>
              </w:tc>
            </w:tr>
            <w:tr w:rsidR="005276D7" w:rsidRPr="00A44935" w14:paraId="7CC88ADA" w14:textId="77777777" w:rsidTr="007022DD">
              <w:tc>
                <w:tcPr>
                  <w:tcW w:w="2900" w:type="dxa"/>
                  <w:vAlign w:val="center"/>
                </w:tcPr>
                <w:p w14:paraId="3C7E540A" w14:textId="77777777" w:rsidR="005276D7" w:rsidRPr="00A44935" w:rsidRDefault="005276D7" w:rsidP="00A44935">
                  <w:pPr>
                    <w:spacing w:after="0" w:line="240" w:lineRule="auto"/>
                    <w:rPr>
                      <w:rFonts w:ascii="Times New Roman" w:hAnsi="Times New Roman"/>
                    </w:rPr>
                  </w:pPr>
                  <w:r w:rsidRPr="00A44935">
                    <w:rPr>
                      <w:rFonts w:ascii="Times New Roman" w:eastAsia="Times New Roman" w:hAnsi="Times New Roman"/>
                      <w:b/>
                      <w:bCs/>
                    </w:rPr>
                    <w:t>Mediana dos preços obtidos</w:t>
                  </w:r>
                </w:p>
              </w:tc>
              <w:tc>
                <w:tcPr>
                  <w:tcW w:w="3300" w:type="dxa"/>
                  <w:vAlign w:val="center"/>
                </w:tcPr>
                <w:p w14:paraId="556AEABC" w14:textId="77777777" w:rsidR="005276D7" w:rsidRPr="00A44935" w:rsidRDefault="005276D7" w:rsidP="00A44935">
                  <w:pPr>
                    <w:spacing w:after="0" w:line="240" w:lineRule="auto"/>
                    <w:jc w:val="center"/>
                    <w:rPr>
                      <w:rFonts w:ascii="Times New Roman" w:hAnsi="Times New Roman"/>
                    </w:rPr>
                  </w:pPr>
                </w:p>
              </w:tc>
              <w:tc>
                <w:tcPr>
                  <w:tcW w:w="1100" w:type="dxa"/>
                  <w:vAlign w:val="center"/>
                </w:tcPr>
                <w:p w14:paraId="01BC05BE" w14:textId="77777777" w:rsidR="005276D7" w:rsidRPr="00A44935" w:rsidRDefault="005276D7" w:rsidP="00A44935">
                  <w:pPr>
                    <w:spacing w:after="0" w:line="240" w:lineRule="auto"/>
                    <w:jc w:val="center"/>
                    <w:rPr>
                      <w:rFonts w:ascii="Times New Roman" w:hAnsi="Times New Roman"/>
                    </w:rPr>
                  </w:pPr>
                </w:p>
              </w:tc>
              <w:tc>
                <w:tcPr>
                  <w:tcW w:w="1940" w:type="dxa"/>
                  <w:vAlign w:val="center"/>
                </w:tcPr>
                <w:p w14:paraId="2534FC87"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34,50</w:t>
                  </w:r>
                </w:p>
              </w:tc>
            </w:tr>
          </w:tbl>
          <w:p w14:paraId="3483CCCD" w14:textId="77777777" w:rsidR="005276D7" w:rsidRPr="00A44935" w:rsidRDefault="005276D7" w:rsidP="00A44935">
            <w:pPr>
              <w:spacing w:after="0" w:line="240" w:lineRule="auto"/>
              <w:jc w:val="both"/>
              <w:rPr>
                <w:rFonts w:ascii="Times New Roman" w:hAnsi="Times New Roman"/>
              </w:rPr>
            </w:pPr>
          </w:p>
          <w:p w14:paraId="3F5494D6"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Memória de cálculo: R$ 34,50/m² x 500 m² = R$ 17.250,00.</w:t>
            </w:r>
          </w:p>
          <w:p w14:paraId="2ADEB0B5"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Valor máximo da contratação: R$ 17.250,00 (dezessete mil, duzentos e cinquenta reais).</w:t>
            </w:r>
          </w:p>
          <w:p w14:paraId="45989E39" w14:textId="360BCE88"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 relatório de cotação, as fontes consultadas e a memória de cálculo integram o processo administrativo da contratação.</w:t>
            </w:r>
          </w:p>
        </w:tc>
      </w:tr>
      <w:tr w:rsidR="005276D7" w:rsidRPr="00A44935" w14:paraId="4B0CE04E" w14:textId="77777777" w:rsidTr="007022DD">
        <w:tc>
          <w:tcPr>
            <w:tcW w:w="822" w:type="dxa"/>
            <w:tcBorders>
              <w:top w:val="single" w:sz="4" w:space="0" w:color="000000"/>
              <w:left w:val="single" w:sz="4" w:space="0" w:color="000000"/>
              <w:bottom w:val="single" w:sz="4" w:space="0" w:color="000000"/>
              <w:right w:val="single" w:sz="4" w:space="0" w:color="000000"/>
            </w:tcBorders>
          </w:tcPr>
          <w:p w14:paraId="515338E0"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11.</w:t>
            </w:r>
          </w:p>
        </w:tc>
        <w:tc>
          <w:tcPr>
            <w:tcW w:w="9640" w:type="dxa"/>
            <w:tcBorders>
              <w:top w:val="single" w:sz="4" w:space="0" w:color="000000"/>
              <w:left w:val="single" w:sz="4" w:space="0" w:color="000000"/>
              <w:bottom w:val="single" w:sz="4" w:space="0" w:color="000000"/>
              <w:right w:val="single" w:sz="4" w:space="0" w:color="000000"/>
            </w:tcBorders>
          </w:tcPr>
          <w:p w14:paraId="00B9D98C"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Indicação dos locais de entrega dos produtos e das regras para recebimento provisório e definitivo.</w:t>
            </w:r>
          </w:p>
          <w:p w14:paraId="74DB801C"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Os produtos deverão ser protocolados junto à Secretaria Municipal de Agricultura e Meio Ambiente, com cópia ao Setor de Engenharia da Prefeitura Municipal de Palmitos/SC, em meio digital e, quando solicitado, físico.</w:t>
            </w:r>
          </w:p>
          <w:p w14:paraId="23CEB17A"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Recebimento provisório</w:t>
            </w:r>
          </w:p>
          <w:p w14:paraId="4B7B6BB6"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Nos termos do art. 140, I, “a”, da Lei nº 14.133/2021, cada etapa será recebida provisoriamente pelo fiscal, mediante termo detalhado, após verificação da entrega de todos os produtos previstos, da conformidade formal da documentação e da existência das ARTs/RRTs.</w:t>
            </w:r>
          </w:p>
          <w:p w14:paraId="58E00F84"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Recebimento definitivo</w:t>
            </w:r>
          </w:p>
          <w:p w14:paraId="26C01219"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 recebimento definitivo do objeto ocorrerá após a entrega de todas as etapas, a análise técnica detalhada e a apresentação das aprovações exigíveis (projeto aprovado pelo Município e PPCI aprovado pelo CBMSC), mediante termo detalhado emitido por servidor ou comissão designada pela autoridade competente (art. 140, I, “b”).</w:t>
            </w:r>
          </w:p>
          <w:p w14:paraId="31830613"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Correções e rejeição</w:t>
            </w:r>
          </w:p>
          <w:p w14:paraId="0A8CDB33"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Identificadas falhas, inconsistências ou incompatibilidades, a contratada será notificada para corrigi-las em até 10 (dez) dias úteis, sem ônus, salvo prazo diverso fixado pela fiscalização. O objeto poderá ser rejeitado, no todo ou em parte, quando em desacordo com o contrato (art. 140, § 1º), e a persistência das inconformidades poderá caracterizar inexecução contratual.</w:t>
            </w:r>
          </w:p>
          <w:p w14:paraId="23C4AC26" w14:textId="7DFEFB23"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 recebimento provisório ou definitivo não exclui a responsabilidade técnica, civil e ético-profissional da contratada pelos serviços executados.</w:t>
            </w:r>
          </w:p>
        </w:tc>
      </w:tr>
      <w:tr w:rsidR="005276D7" w:rsidRPr="00A44935" w14:paraId="1BCAD9A3" w14:textId="77777777" w:rsidTr="007022DD">
        <w:tc>
          <w:tcPr>
            <w:tcW w:w="822" w:type="dxa"/>
            <w:tcBorders>
              <w:top w:val="single" w:sz="4" w:space="0" w:color="000000"/>
              <w:left w:val="single" w:sz="4" w:space="0" w:color="000000"/>
              <w:bottom w:val="single" w:sz="4" w:space="0" w:color="000000"/>
              <w:right w:val="single" w:sz="4" w:space="0" w:color="000000"/>
            </w:tcBorders>
          </w:tcPr>
          <w:p w14:paraId="4805FA82"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12.</w:t>
            </w:r>
          </w:p>
        </w:tc>
        <w:tc>
          <w:tcPr>
            <w:tcW w:w="9640" w:type="dxa"/>
            <w:tcBorders>
              <w:top w:val="single" w:sz="4" w:space="0" w:color="000000"/>
              <w:left w:val="single" w:sz="4" w:space="0" w:color="000000"/>
              <w:bottom w:val="single" w:sz="4" w:space="0" w:color="000000"/>
              <w:right w:val="single" w:sz="4" w:space="0" w:color="000000"/>
            </w:tcBorders>
          </w:tcPr>
          <w:p w14:paraId="286835D4"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Adequação orçamentária.</w:t>
            </w:r>
          </w:p>
          <w:p w14:paraId="40E5CF5F"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As despesas correrão à conta da seguinte dotação do orçamento vigente do Município de Palmitos/SC:</w:t>
            </w:r>
          </w:p>
          <w:p w14:paraId="4B5142AF"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Órgão: Secretaria Municipal de Agricultura e Meio Ambiente</w:t>
            </w:r>
          </w:p>
          <w:p w14:paraId="23128C43" w14:textId="77777777" w:rsidR="00B812D6" w:rsidRDefault="00B812D6" w:rsidP="00B812D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04.001 - DEPARTAMENTO DA AGRICULTURA</w:t>
            </w:r>
          </w:p>
          <w:p w14:paraId="199BBB63" w14:textId="77777777" w:rsidR="00B812D6" w:rsidRDefault="00B812D6" w:rsidP="00B812D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1.006 - AQUISIÇÃO DE VEÍCULOS E MÁQUINAS PARA A SECRETARIA DA AGRICULTURA</w:t>
            </w:r>
          </w:p>
          <w:p w14:paraId="06707EAA" w14:textId="77777777" w:rsidR="00B812D6" w:rsidRPr="00C4392D" w:rsidRDefault="00B812D6" w:rsidP="00B812D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lastRenderedPageBreak/>
              <w:t>47 - 4.4.90.00.00.00.00.00 - APLICACOES DIRETAS 1.500.0000.0000 - RECURSOS ORDINÁRIOS</w:t>
            </w:r>
          </w:p>
          <w:p w14:paraId="1BE7844A" w14:textId="39F575B6"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Administração certifica a existência de disponibilidade orçamentária, observadas a Lei Complementar nº 101/2000, a Lei nº 4.320/1964 e a Lei nº 14.133/2021.</w:t>
            </w:r>
          </w:p>
        </w:tc>
      </w:tr>
      <w:tr w:rsidR="005276D7" w:rsidRPr="00A44935" w14:paraId="251CA13A" w14:textId="77777777" w:rsidTr="007022DD">
        <w:tc>
          <w:tcPr>
            <w:tcW w:w="822" w:type="dxa"/>
            <w:tcBorders>
              <w:top w:val="single" w:sz="4" w:space="0" w:color="000000"/>
              <w:left w:val="single" w:sz="4" w:space="0" w:color="000000"/>
              <w:bottom w:val="single" w:sz="4" w:space="0" w:color="000000"/>
              <w:right w:val="single" w:sz="4" w:space="0" w:color="000000"/>
            </w:tcBorders>
          </w:tcPr>
          <w:p w14:paraId="500BF205"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lastRenderedPageBreak/>
              <w:t>13.</w:t>
            </w:r>
          </w:p>
        </w:tc>
        <w:tc>
          <w:tcPr>
            <w:tcW w:w="9640" w:type="dxa"/>
            <w:tcBorders>
              <w:top w:val="single" w:sz="4" w:space="0" w:color="000000"/>
              <w:left w:val="single" w:sz="4" w:space="0" w:color="000000"/>
              <w:bottom w:val="single" w:sz="4" w:space="0" w:color="000000"/>
              <w:right w:val="single" w:sz="4" w:space="0" w:color="000000"/>
            </w:tcBorders>
          </w:tcPr>
          <w:p w14:paraId="75507F4F"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Obrigações das partes.</w:t>
            </w:r>
          </w:p>
          <w:p w14:paraId="2C30DD35"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Da contratada</w:t>
            </w:r>
          </w:p>
          <w:p w14:paraId="69A2F61F"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executar os serviços conforme este Termo de Referência, a proposta, as normas técnicas e a legislação aplicável;</w:t>
            </w:r>
          </w:p>
          <w:p w14:paraId="2BC8E21F"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indicar preposto e manter equipe técnica habilitada durante toda a execução, só substituindo profissionais por outros de qualificação equivalente ou superior, com anuência da Administração;</w:t>
            </w:r>
          </w:p>
          <w:p w14:paraId="54979774"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emitir as ARTs/RRTs e arcar com os respectivos custos;</w:t>
            </w:r>
          </w:p>
          <w:p w14:paraId="569A0EF6"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compatibilizar todas as disciplinas e responder pela consistência entre projetos, memoriais, quantitativos e orçamentos;</w:t>
            </w:r>
          </w:p>
          <w:p w14:paraId="6F3CDAB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e) protocolar e acompanhar os processos de aprovação, promovendo as adequações exigidas sem ônus;</w:t>
            </w:r>
          </w:p>
          <w:p w14:paraId="0C9EA4A7"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f) corrigir, sem ônus, erros, omissões e incompatibilidades, inclusive após o recebimento definitivo;</w:t>
            </w:r>
          </w:p>
          <w:p w14:paraId="3D1F40F5"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g) manter sigilo sobre as informações a que tiver acesso e observar a Lei nº 13.709/2018 (LGPD);</w:t>
            </w:r>
          </w:p>
          <w:p w14:paraId="730BC9DF"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h) responsabilizar-se pelos encargos trabalhistas, previdenciários, fiscais e comerciais decorrentes da execução;</w:t>
            </w:r>
          </w:p>
          <w:p w14:paraId="264C6C2B"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i) manter, durante toda a vigência, as condições de habilitação exigidas na licitação.</w:t>
            </w:r>
          </w:p>
          <w:p w14:paraId="5CDE86B6" w14:textId="77777777" w:rsidR="005276D7" w:rsidRPr="00A44935" w:rsidRDefault="005276D7" w:rsidP="00A44935">
            <w:pPr>
              <w:keepNext/>
              <w:spacing w:after="0" w:line="240" w:lineRule="auto"/>
              <w:jc w:val="both"/>
              <w:rPr>
                <w:rFonts w:ascii="Times New Roman" w:hAnsi="Times New Roman"/>
              </w:rPr>
            </w:pPr>
            <w:r w:rsidRPr="00A44935">
              <w:rPr>
                <w:rFonts w:ascii="Times New Roman" w:eastAsia="Times New Roman" w:hAnsi="Times New Roman"/>
                <w:b/>
                <w:bCs/>
              </w:rPr>
              <w:t>Do contratante</w:t>
            </w:r>
          </w:p>
          <w:p w14:paraId="5FE2CCD5"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a) emitir a Ordem de Serviço e fornecer as informações e documentos disponíveis;</w:t>
            </w:r>
          </w:p>
          <w:p w14:paraId="1AD8E39E"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b) validar formalmente o programa de necessidades e os produtos de cada etapa, nos prazos previstos;</w:t>
            </w:r>
          </w:p>
          <w:p w14:paraId="0DA0EEE1" w14:textId="77777777"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c) custear as taxas de análise e aprovação cobradas pelos órgãos públicos;</w:t>
            </w:r>
          </w:p>
          <w:p w14:paraId="770F682E" w14:textId="6FA13DE2" w:rsidR="005276D7" w:rsidRPr="00A44935" w:rsidRDefault="005276D7" w:rsidP="00A44935">
            <w:pPr>
              <w:spacing w:after="0" w:line="240" w:lineRule="auto"/>
              <w:ind w:left="426" w:hanging="284"/>
              <w:jc w:val="both"/>
              <w:rPr>
                <w:rFonts w:ascii="Times New Roman" w:hAnsi="Times New Roman"/>
              </w:rPr>
            </w:pPr>
            <w:r w:rsidRPr="00A44935">
              <w:rPr>
                <w:rFonts w:ascii="Times New Roman" w:eastAsia="Times New Roman" w:hAnsi="Times New Roman"/>
              </w:rPr>
              <w:t>d) fiscalizar a execução e efetuar os pagamentos nas condições pactuadas.</w:t>
            </w:r>
          </w:p>
        </w:tc>
      </w:tr>
      <w:tr w:rsidR="005276D7" w:rsidRPr="00A44935" w14:paraId="213FF39B" w14:textId="77777777" w:rsidTr="007022DD">
        <w:tc>
          <w:tcPr>
            <w:tcW w:w="822" w:type="dxa"/>
            <w:tcBorders>
              <w:top w:val="single" w:sz="4" w:space="0" w:color="000000"/>
              <w:left w:val="single" w:sz="4" w:space="0" w:color="000000"/>
              <w:bottom w:val="single" w:sz="4" w:space="0" w:color="000000"/>
              <w:right w:val="single" w:sz="4" w:space="0" w:color="000000"/>
            </w:tcBorders>
          </w:tcPr>
          <w:p w14:paraId="5661F2EE"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14.</w:t>
            </w:r>
          </w:p>
        </w:tc>
        <w:tc>
          <w:tcPr>
            <w:tcW w:w="9640" w:type="dxa"/>
            <w:tcBorders>
              <w:top w:val="single" w:sz="4" w:space="0" w:color="000000"/>
              <w:left w:val="single" w:sz="4" w:space="0" w:color="000000"/>
              <w:bottom w:val="single" w:sz="4" w:space="0" w:color="000000"/>
              <w:right w:val="single" w:sz="4" w:space="0" w:color="000000"/>
            </w:tcBorders>
          </w:tcPr>
          <w:p w14:paraId="06B16B88"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Direitos patrimoniais e autorais.</w:t>
            </w:r>
          </w:p>
          <w:p w14:paraId="71D8B260" w14:textId="18B194AC"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Nos termos do art. 93 da Lei nº 14.133/2021, a contratada cede ao Município de Palmitos/SC todos os direitos patrimoniais relativos aos projetos e demais documentos técnicos elaborados, que poderão ser livremente utilizados e alterados pela Administração em outras ocasiões, sem necessidade de nova autorização do autor, resguardados os direitos morais de autoria.</w:t>
            </w:r>
          </w:p>
        </w:tc>
      </w:tr>
      <w:tr w:rsidR="005276D7" w:rsidRPr="00A44935" w14:paraId="509F2F2F" w14:textId="77777777" w:rsidTr="007022DD">
        <w:tc>
          <w:tcPr>
            <w:tcW w:w="822" w:type="dxa"/>
            <w:tcBorders>
              <w:top w:val="single" w:sz="4" w:space="0" w:color="000000"/>
              <w:left w:val="single" w:sz="4" w:space="0" w:color="000000"/>
              <w:bottom w:val="single" w:sz="4" w:space="0" w:color="000000"/>
              <w:right w:val="single" w:sz="4" w:space="0" w:color="000000"/>
            </w:tcBorders>
          </w:tcPr>
          <w:p w14:paraId="2D7135FC" w14:textId="77777777" w:rsidR="005276D7" w:rsidRPr="00A44935" w:rsidRDefault="005276D7" w:rsidP="00A44935">
            <w:pPr>
              <w:spacing w:after="0" w:line="240" w:lineRule="auto"/>
              <w:jc w:val="center"/>
              <w:rPr>
                <w:rFonts w:ascii="Times New Roman" w:hAnsi="Times New Roman"/>
              </w:rPr>
            </w:pPr>
            <w:r w:rsidRPr="00A44935">
              <w:rPr>
                <w:rFonts w:ascii="Times New Roman" w:eastAsia="Times New Roman" w:hAnsi="Times New Roman"/>
                <w:b/>
                <w:bCs/>
              </w:rPr>
              <w:t>15.</w:t>
            </w:r>
          </w:p>
        </w:tc>
        <w:tc>
          <w:tcPr>
            <w:tcW w:w="9640" w:type="dxa"/>
            <w:tcBorders>
              <w:top w:val="single" w:sz="4" w:space="0" w:color="000000"/>
              <w:left w:val="single" w:sz="4" w:space="0" w:color="000000"/>
              <w:bottom w:val="single" w:sz="4" w:space="0" w:color="000000"/>
              <w:right w:val="single" w:sz="4" w:space="0" w:color="000000"/>
            </w:tcBorders>
          </w:tcPr>
          <w:p w14:paraId="6B30D29F"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b/>
                <w:bCs/>
              </w:rPr>
              <w:t>Garantia técnica, assistência técnica e sanções.</w:t>
            </w:r>
          </w:p>
          <w:p w14:paraId="4B0D01F1"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contratada responderá pela qualidade técnica dos serviços e pela consistência dos documentos produzidos, devendo promover, sem ônus, as correções decorrentes de falhas de elaboração identificadas inclusive após o recebimento definitivo.</w:t>
            </w:r>
          </w:p>
          <w:p w14:paraId="4D104ED8"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A contratada deverá prestar assistência técnica ao Município, sempre que solicitado, para esclarecimentos sobre os projetos, especificações, quantitativos e orçamentos, especialmente durante a licitação da obra, a análise das propostas, a execução da obra e o atendimento a exigências de órgãos de controle ou licenciadores.</w:t>
            </w:r>
          </w:p>
          <w:p w14:paraId="05AD9B93" w14:textId="77777777"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Pelo prazo de até 02 (dois) anos contados do recebimento definitivo, a contratada deverá realizar, sem ônus, até 02 (duas) atualizações da data-base da planilha orçamentária, bem como adequações decorrentes de exigências dos órgãos competentes, desde que não impliquem modificação substancial do escopo.</w:t>
            </w:r>
          </w:p>
          <w:p w14:paraId="63C9D28C" w14:textId="17CFF82C" w:rsidR="005276D7" w:rsidRPr="00A44935" w:rsidRDefault="005276D7" w:rsidP="00A44935">
            <w:pPr>
              <w:spacing w:after="0" w:line="240" w:lineRule="auto"/>
              <w:jc w:val="both"/>
              <w:rPr>
                <w:rFonts w:ascii="Times New Roman" w:hAnsi="Times New Roman"/>
              </w:rPr>
            </w:pPr>
            <w:r w:rsidRPr="00A44935">
              <w:rPr>
                <w:rFonts w:ascii="Times New Roman" w:eastAsia="Times New Roman" w:hAnsi="Times New Roman"/>
              </w:rPr>
              <w:t>O descumprimento das obrigações sujeitará a contratada às sanções previstas no edital, no contrato e nos arts. 155 a 163 da Lei nº 14.133/2021.</w:t>
            </w:r>
          </w:p>
        </w:tc>
      </w:tr>
    </w:tbl>
    <w:p w14:paraId="00845E06" w14:textId="77777777" w:rsidR="00CC74A8" w:rsidRDefault="00CC74A8" w:rsidP="00CC74A8">
      <w:pPr>
        <w:spacing w:after="0" w:line="240" w:lineRule="auto"/>
        <w:jc w:val="right"/>
        <w:rPr>
          <w:rFonts w:ascii="Times New Roman" w:eastAsia="Times New Roman" w:hAnsi="Times New Roman"/>
        </w:rPr>
      </w:pPr>
    </w:p>
    <w:p w14:paraId="7D258961" w14:textId="351FA7D8" w:rsidR="00CC74A8" w:rsidRDefault="00CC74A8" w:rsidP="00CC74A8">
      <w:pPr>
        <w:spacing w:after="0" w:line="240" w:lineRule="auto"/>
        <w:jc w:val="right"/>
        <w:rPr>
          <w:rFonts w:ascii="Times New Roman" w:eastAsia="Times New Roman" w:hAnsi="Times New Roman"/>
        </w:rPr>
      </w:pPr>
      <w:r>
        <w:rPr>
          <w:rFonts w:ascii="Times New Roman" w:eastAsia="Times New Roman" w:hAnsi="Times New Roman"/>
        </w:rPr>
        <w:t>Palmitos/SC, 2</w:t>
      </w:r>
      <w:r w:rsidR="00B812D6">
        <w:rPr>
          <w:rFonts w:ascii="Times New Roman" w:eastAsia="Times New Roman" w:hAnsi="Times New Roman"/>
        </w:rPr>
        <w:t>9</w:t>
      </w:r>
      <w:r>
        <w:rPr>
          <w:rFonts w:ascii="Times New Roman" w:eastAsia="Times New Roman" w:hAnsi="Times New Roman"/>
        </w:rPr>
        <w:t xml:space="preserve"> de setembro de 2026.</w:t>
      </w:r>
    </w:p>
    <w:p w14:paraId="3BF8791D" w14:textId="77777777" w:rsidR="00D502CA" w:rsidRDefault="00D502CA" w:rsidP="00CC74A8">
      <w:pPr>
        <w:spacing w:after="0" w:line="240" w:lineRule="auto"/>
        <w:jc w:val="right"/>
        <w:rPr>
          <w:rFonts w:ascii="Times New Roman" w:eastAsia="Times New Roman" w:hAnsi="Times New Roman"/>
        </w:rPr>
      </w:pPr>
    </w:p>
    <w:p w14:paraId="241446A6" w14:textId="77777777" w:rsidR="00CC74A8" w:rsidRDefault="00CC74A8" w:rsidP="00CC74A8">
      <w:pPr>
        <w:spacing w:after="0" w:line="240" w:lineRule="auto"/>
        <w:jc w:val="right"/>
        <w:rPr>
          <w:rFonts w:ascii="Times New Roman" w:eastAsia="Times New Roman" w:hAnsi="Times New Roman"/>
        </w:rPr>
      </w:pPr>
    </w:p>
    <w:p w14:paraId="38E72440" w14:textId="77777777" w:rsidR="00CC74A8" w:rsidRDefault="00CC74A8" w:rsidP="00CC74A8">
      <w:pPr>
        <w:spacing w:after="0" w:line="240" w:lineRule="auto"/>
        <w:jc w:val="right"/>
      </w:pPr>
    </w:p>
    <w:p w14:paraId="16666BD7" w14:textId="77777777" w:rsidR="00CC74A8" w:rsidRDefault="00CC74A8" w:rsidP="00CC74A8">
      <w:pPr>
        <w:spacing w:after="0" w:line="240" w:lineRule="auto"/>
        <w:jc w:val="center"/>
      </w:pPr>
      <w:r>
        <w:rPr>
          <w:rFonts w:ascii="Times New Roman" w:eastAsia="Times New Roman" w:hAnsi="Times New Roman"/>
        </w:rPr>
        <w:t>____________________________________</w:t>
      </w:r>
    </w:p>
    <w:p w14:paraId="7243E09B" w14:textId="77777777" w:rsidR="00CC74A8" w:rsidRDefault="00CC74A8" w:rsidP="00CC74A8">
      <w:pPr>
        <w:spacing w:after="0" w:line="240" w:lineRule="auto"/>
        <w:jc w:val="center"/>
        <w:rPr>
          <w:rFonts w:ascii="Times New Roman" w:eastAsia="Times New Roman" w:hAnsi="Times New Roman"/>
        </w:rPr>
      </w:pPr>
      <w:r>
        <w:rPr>
          <w:rFonts w:ascii="Times New Roman" w:eastAsia="Times New Roman" w:hAnsi="Times New Roman"/>
        </w:rPr>
        <w:t>ANGÉLICA CHINI</w:t>
      </w:r>
    </w:p>
    <w:p w14:paraId="310CA1C8" w14:textId="77777777" w:rsidR="00CC74A8" w:rsidRDefault="00CC74A8" w:rsidP="00CC74A8">
      <w:pPr>
        <w:spacing w:after="0" w:line="240" w:lineRule="auto"/>
        <w:jc w:val="center"/>
      </w:pPr>
      <w:r>
        <w:rPr>
          <w:rFonts w:ascii="Times New Roman" w:eastAsia="Times New Roman" w:hAnsi="Times New Roman"/>
        </w:rPr>
        <w:t>SECRETÁRIA MUNICIPAL DE AGRICULTURA E MEIO AMBIENTE</w:t>
      </w:r>
    </w:p>
    <w:p w14:paraId="4E2B1FAF" w14:textId="77777777" w:rsidR="005276D7" w:rsidRPr="00A44935" w:rsidRDefault="005276D7" w:rsidP="00A44935">
      <w:pPr>
        <w:spacing w:after="0" w:line="240" w:lineRule="auto"/>
        <w:rPr>
          <w:rFonts w:ascii="Times New Roman" w:hAnsi="Times New Roman"/>
        </w:rPr>
      </w:pPr>
    </w:p>
    <w:sectPr w:rsidR="005276D7" w:rsidRPr="00A449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6D7"/>
    <w:rsid w:val="000C401A"/>
    <w:rsid w:val="003717C3"/>
    <w:rsid w:val="003E333A"/>
    <w:rsid w:val="003F1410"/>
    <w:rsid w:val="00425554"/>
    <w:rsid w:val="004E2FF3"/>
    <w:rsid w:val="005276D7"/>
    <w:rsid w:val="006F0EFA"/>
    <w:rsid w:val="008E461A"/>
    <w:rsid w:val="00A44935"/>
    <w:rsid w:val="00AC2CA7"/>
    <w:rsid w:val="00AF39AE"/>
    <w:rsid w:val="00B812D6"/>
    <w:rsid w:val="00CC74A8"/>
    <w:rsid w:val="00D502CA"/>
    <w:rsid w:val="00DB29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44C9"/>
  <w15:chartTrackingRefBased/>
  <w15:docId w15:val="{2CA0BCBB-54A7-4DDE-A448-B3433E15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6D7"/>
    <w:pPr>
      <w:suppressAutoHyphens/>
      <w:spacing w:line="256" w:lineRule="auto"/>
    </w:pPr>
    <w:rPr>
      <w:rFonts w:ascii="Calibri" w:eastAsia="Calibri" w:hAnsi="Calibri" w:cs="Times New Roman"/>
      <w:kern w:val="0"/>
      <w:sz w:val="22"/>
      <w:szCs w:val="22"/>
      <w:lang w:eastAsia="zh-CN"/>
      <w14:ligatures w14:val="none"/>
    </w:rPr>
  </w:style>
  <w:style w:type="paragraph" w:styleId="Ttulo1">
    <w:name w:val="heading 1"/>
    <w:basedOn w:val="Normal"/>
    <w:next w:val="Normal"/>
    <w:link w:val="Ttulo1Char"/>
    <w:uiPriority w:val="9"/>
    <w:qFormat/>
    <w:rsid w:val="005276D7"/>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5276D7"/>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5276D7"/>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5276D7"/>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5276D7"/>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5276D7"/>
    <w:pPr>
      <w:keepNext/>
      <w:keepLines/>
      <w:suppressAutoHyphens w:val="0"/>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5276D7"/>
    <w:pPr>
      <w:keepNext/>
      <w:keepLines/>
      <w:suppressAutoHyphens w:val="0"/>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5276D7"/>
    <w:pPr>
      <w:keepNext/>
      <w:keepLines/>
      <w:suppressAutoHyphens w:val="0"/>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5276D7"/>
    <w:pPr>
      <w:keepNext/>
      <w:keepLines/>
      <w:suppressAutoHyphens w:val="0"/>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276D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276D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276D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276D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276D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276D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276D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276D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276D7"/>
    <w:rPr>
      <w:rFonts w:eastAsiaTheme="majorEastAsia" w:cstheme="majorBidi"/>
      <w:color w:val="272727" w:themeColor="text1" w:themeTint="D8"/>
    </w:rPr>
  </w:style>
  <w:style w:type="paragraph" w:styleId="Ttulo">
    <w:name w:val="Title"/>
    <w:basedOn w:val="Normal"/>
    <w:next w:val="Normal"/>
    <w:link w:val="TtuloChar"/>
    <w:uiPriority w:val="10"/>
    <w:qFormat/>
    <w:rsid w:val="005276D7"/>
    <w:pPr>
      <w:suppressAutoHyphens w:val="0"/>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5276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276D7"/>
    <w:pPr>
      <w:numPr>
        <w:ilvl w:val="1"/>
      </w:numPr>
      <w:suppressAutoHyphens w:val="0"/>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5276D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276D7"/>
    <w:pPr>
      <w:suppressAutoHyphens w:val="0"/>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5276D7"/>
    <w:rPr>
      <w:i/>
      <w:iCs/>
      <w:color w:val="404040" w:themeColor="text1" w:themeTint="BF"/>
    </w:rPr>
  </w:style>
  <w:style w:type="paragraph" w:styleId="PargrafodaLista">
    <w:name w:val="List Paragraph"/>
    <w:basedOn w:val="Normal"/>
    <w:uiPriority w:val="34"/>
    <w:qFormat/>
    <w:rsid w:val="005276D7"/>
    <w:pPr>
      <w:suppressAutoHyphens w:val="0"/>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5276D7"/>
    <w:rPr>
      <w:i/>
      <w:iCs/>
      <w:color w:val="2F5496" w:themeColor="accent1" w:themeShade="BF"/>
    </w:rPr>
  </w:style>
  <w:style w:type="paragraph" w:styleId="CitaoIntensa">
    <w:name w:val="Intense Quote"/>
    <w:basedOn w:val="Normal"/>
    <w:next w:val="Normal"/>
    <w:link w:val="CitaoIntensaChar"/>
    <w:uiPriority w:val="30"/>
    <w:qFormat/>
    <w:rsid w:val="005276D7"/>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5276D7"/>
    <w:rPr>
      <w:i/>
      <w:iCs/>
      <w:color w:val="2F5496" w:themeColor="accent1" w:themeShade="BF"/>
    </w:rPr>
  </w:style>
  <w:style w:type="character" w:styleId="RefernciaIntensa">
    <w:name w:val="Intense Reference"/>
    <w:basedOn w:val="Fontepargpadro"/>
    <w:uiPriority w:val="32"/>
    <w:qFormat/>
    <w:rsid w:val="005276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5039</Words>
  <Characters>27213</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ANDRESSA TRIACCA</dc:creator>
  <cp:keywords/>
  <dc:description/>
  <cp:lastModifiedBy>ANDRESSA TRIACCA</cp:lastModifiedBy>
  <cp:revision>13</cp:revision>
  <dcterms:created xsi:type="dcterms:W3CDTF">2026-09-25T11:10:00Z</dcterms:created>
  <dcterms:modified xsi:type="dcterms:W3CDTF">2026-09-29T20:20:00Z</dcterms:modified>
</cp:coreProperties>
</file>